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GwG 2017 — Bekanntmachung von bestandskräftigen Maßnahmen und von unanfechtbaren Bußgeldentscheidungen</w:t>
      </w:r>
    </w:p>
    <w:p>
      <w:r>
        <w:rPr>
          <w:color w:val="555555"/>
          <w:sz w:val="18"/>
        </w:rPr>
        <w:t xml:space="preserve">Geldwäschegesetz</w:t>
      </w:r>
    </w:p>
    <w:p>
      <w:r>
        <w:rPr>
          <w:color w:val="555555"/>
          <w:sz w:val="18"/>
        </w:rPr>
        <w:t xml:space="preserve">Stand: 14.03.2026 (konsolidierte Textfassung, kein amtliches Inkrafttretensdatum)</w:t>
      </w:r>
    </w:p>
    <w:p>
      <w:r>
        <w:t xml:space="preserve">(1) Die zuständigen Aufsichts- und Verwaltungsbehörden und die Behörde nach § 56 Absatz 5 Satz 2 haben bestandskräftige Maßnahmen und unanfechtbare Bußgeldentscheidungen, die sie wegen eines Verstoßes gegen dieses Gesetz, die auf seiner Grundlage erlassenen Rechtsverordnungen oder die Bestimmungen der Verordnung (EU) 2023/1113 verhängt haben, nach Unterrichtung des Adressaten der Maßnahme oder Bußgeldentscheidung auf ihrer Internetseite oder auf einer gemeinsamen Internetseite bekannt zu machen. Dies gilt auch für gerichtliche Entscheidungen, soweit diese unanfechtbar geworden sind und die Verhängung eines Bußgeldes zum Gegenstand haben. In der Bekanntmachung sind Art und Charakter des Verstoßes und die für den Verstoß verantwortlichen natürlichen Personen und juristischen Personen oder Personenvereinigungen zu benennen.</w:t>
      </w:r>
    </w:p>
    <w:p>
      <w:r>
        <w:t xml:space="preserve">(2) Die Bekanntmachung nach Absatz 1 ist aufzuschieben, solange die Bekanntmachung</w:t>
      </w:r>
    </w:p>
    <w:p>
      <w:pPr>
        <w:ind w:left="420"/>
      </w:pPr>
      <w:r>
        <w:t xml:space="preserve">1. das Persönlichkeitsrecht natürlicher Personen verletzen würde oder eine Bekanntmachung personenbezogener Daten aus sonstigen Gründen unverhältnismäßig wäre,</w:t>
      </w:r>
    </w:p>
    <w:p>
      <w:pPr>
        <w:ind w:left="420"/>
      </w:pPr>
      <w:r>
        <w:t xml:space="preserve">2. die Stabilität der Finanzmärkte der Bundesrepublik Deutschland oder eines oder mehrerer Vertragsstaaten des Abkommens über den Europäischen Wirtschaftsraum gefährden würde oder</w:t>
      </w:r>
    </w:p>
    <w:p>
      <w:pPr>
        <w:ind w:left="420"/>
      </w:pPr>
      <w:r>
        <w:t xml:space="preserve">3. laufende Ermittlungen gefährden würde.</w:t>
      </w:r>
    </w:p>
    <w:p>
      <w:r>
        <w:t xml:space="preserve">Anstelle einer Aufschiebung kann die Bekanntmachung auf anonymisierter Basis erfolgen, wenn hierdurch ein wirksamer Schutz nach Satz 1 Nummer 1 gewährleistet ist. Ist vorhersehbar, dass die Gründe der anonymisierten Bekanntmachung innerhalb eines überschaubaren Zeitraums wegfallen werden, so kann die Bekanntmachung der Informationen nach Satz 1 Nummer 1 entsprechend aufgeschoben werden. Die Bekanntmachung erfolgt, wenn die Gründe für den Aufschub entfallen sind.</w:t>
      </w:r>
    </w:p>
    <w:p>
      <w:r>
        <w:t xml:space="preserve">(3) Eine Bekanntmachung darf nicht erfolgen, wenn die Maßnahmen nach Absatz 2 nicht ausreichend sind, um eine Gefährdung der Finanzmarktstabilität auszuschließen oder die Verhältnismäßigkeit der Bekanntmachung sicherzustellen.</w:t>
      </w:r>
    </w:p>
    <w:p>
      <w:r>
        <w:t xml:space="preserve">(4) Eine Bekanntmachung muss fünf Jahre auf der Internetseite der Aufsichtsbehörde veröffentlicht bleiben. Abweichend von Satz 1 sind personenbezogene Daten zu löschen, sobald die Bekanntmachung nicht mehr erforderlich ist.</w:t>
      </w:r>
    </w:p>
    <w:p>
      <w:r>
        <w:rPr>
          <w:color w:val="555555"/>
          <w:sz w:val="17"/>
        </w:rPr>
        <w:t xml:space="preserve">Zitiervorschlag: § 57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