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GwG 2017 — Zuständige Aufsichtsbehörde</w:t>
      </w:r>
    </w:p>
    <w:p>
      <w:r>
        <w:rPr>
          <w:color w:val="555555"/>
          <w:sz w:val="18"/>
        </w:rPr>
        <w:t xml:space="preserve">Geldwäschegesetz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Zuständige Aufsichtsbehörde für die Durchführung dieses Gesetzes ist</w:t>
      </w:r>
    </w:p>
    <w:p>
      <w:pPr>
        <w:ind w:left="420"/>
      </w:pPr>
      <w:r>
        <w:t xml:space="preserve">1. die Bundesanstalt für Finanzdienstleistungsaufsicht für</w:t>
      </w:r>
    </w:p>
    <w:p>
      <w:pPr>
        <w:ind w:left="780"/>
      </w:pPr>
      <w:r>
        <w:t xml:space="preserve">a) Kreditinstitute mit Ausnahme der Deutschen Bundesbank,</w:t>
      </w:r>
    </w:p>
    <w:p>
      <w:pPr>
        <w:ind w:left="780"/>
      </w:pPr>
      <w:r>
        <w:t xml:space="preserve">b) Finanzdienstleistungsinstitute sowie Zahlungsinstitute nach § 1 Absatz 1 Satz 1 Nummer 1 des Zahlungsdiensteaufsichtsgesetzes, E-Geld-Institute nach § 1 Absatz 2 Satz 1 Nummer 1 des Zahlungsdiensteaufsichtsgesetzes, Wertpapierinstitute nach § 2 Absatz 1 des Wertpapierinstitutsgesetzes, Anbieter von Kryptowerte-Dienstleistungen und Emittenten vermögenswertreferenzierter Token</w:t>
      </w:r>
    </w:p>
    <w:p>
      <w:pPr>
        <w:ind w:left="780"/>
      </w:pPr>
      <w:r>
        <w:t xml:space="preserve">c) im Inland gelegene Zweigstellen und Zweigniederlassungen von Kreditinstituten mit Sitz im Ausland, von Finanzdienstleistungsinstituten mit Sitz im Ausland, von Zahlungsinstituten mit Sitz im Ausland und von Wertpapierinstituten mit Sitz im Ausland,</w:t>
      </w:r>
    </w:p>
    <w:p>
      <w:pPr>
        <w:ind w:left="780"/>
      </w:pPr>
      <w:r>
        <w:t xml:space="preserve">d) Kapitalverwaltungsgesellschaften nach § 17 Absatz 1 des Kapitalanlagegesetzbuchs,</w:t>
      </w:r>
    </w:p>
    <w:p>
      <w:pPr>
        <w:ind w:left="780"/>
      </w:pPr>
      <w:r>
        <w:t xml:space="preserve">e) im Inland gelegene Zweigniederlassungen von EU-Verwaltungsgesellschaften nach § 1 Absatz 17 des Kapitalanlagegesetzbuchs sowie von ausländischen AIF-Verwaltungsgesellschaften nach § 1 Absatz 18 des Kapitalanlagegesetzbuchs,</w:t>
      </w:r>
    </w:p>
    <w:p>
      <w:pPr>
        <w:ind w:left="780"/>
      </w:pPr>
      <w:r>
        <w:t xml:space="preserve">f) ausländische AIF-Verwaltungsgesellschaften, für die die Bundesrepublik Deutschland Referenzmitgliedstaat ist und die der Aufsicht der Bundesanstalt für Finanzdienstleistungsaufsicht nach § 57 Absatz 1 Satz 3 des Kapitalanlagegesetzbuchs unterliegen,</w:t>
      </w:r>
    </w:p>
    <w:p>
      <w:pPr>
        <w:ind w:left="780"/>
      </w:pPr>
      <w:r>
        <w:t xml:space="preserve">g) Zahlungsinstitute und E-Geld-Institute mit Sitz in einem anderen Vertragsstaat des Abkommens über den Europäischen Wirtschaftsraum, Agenten und E-Geld-Agenten nach § 2 Absatz 1 Nummer 4,</w:t>
      </w:r>
    </w:p>
    <w:p>
      <w:pPr>
        <w:ind w:left="780"/>
      </w:pPr>
      <w:r>
        <w:t xml:space="preserve">h) Unternehmen und Personen nach § 2 Absatz 1 Nummer 5 und</w:t>
      </w:r>
    </w:p>
    <w:p>
      <w:pPr>
        <w:ind w:left="780"/>
      </w:pPr>
      <w:r>
        <w:t xml:space="preserve">i) die Kreditanstalt für Wiederaufbau,</w:t>
      </w:r>
    </w:p>
    <w:p>
      <w:pPr>
        <w:ind w:left="420"/>
      </w:pPr>
      <w:r>
        <w:t xml:space="preserve">2. für Versicherungsunternehmen nach § 2 Absatz 1 Nummer 7 die jeweils zuständige Aufsichtsbehörde für das Versicherungswesen,</w:t>
      </w:r>
    </w:p>
    <w:p>
      <w:pPr>
        <w:ind w:left="420"/>
      </w:pPr>
      <w:r>
        <w:t xml:space="preserve">3. für Rechtsanwälte und Kammerrechtsbeistände nach § 2 Absatz 1 Nummer 10 die jeweils örtlich zuständige Rechtsanwaltskammer (§§ 60, 163 Satz 4 der Bundesrechtsanwaltsordnung),</w:t>
      </w:r>
    </w:p>
    <w:p>
      <w:pPr>
        <w:ind w:left="420"/>
      </w:pPr>
      <w:r>
        <w:t xml:space="preserve">4. für Patentanwälte nach § 2 Absatz 1 Nummer 10 die Patentanwaltskammer (§ 53 der Patentanwaltsordnung),</w:t>
      </w:r>
    </w:p>
    <w:p>
      <w:pPr>
        <w:ind w:left="420"/>
      </w:pPr>
      <w:r>
        <w:t xml:space="preserve">5. für Notare nach § 2 Absatz 1 Nummer 10</w:t>
      </w:r>
    </w:p>
    <w:p>
      <w:pPr>
        <w:ind w:left="780"/>
      </w:pPr>
      <w:r>
        <w:t xml:space="preserve">a) der jeweilige Präsident des Landgerichts, in dessen Bezirk der Notar seinen Sitz hat (§ 92 Absatz 1 Nummer 1 der Bundesnotarordnung),</w:t>
      </w:r>
    </w:p>
    <w:p>
      <w:pPr>
        <w:ind w:left="780"/>
      </w:pPr>
      <w:r>
        <w:t xml:space="preserve">b) im Fall des § 92 Absatz 3 der Bundesnotarordnung der jeweilige Präsident des Landgerichts, dem die Zuständigkeit zugewiesen wurde,</w:t>
      </w:r>
    </w:p>
    <w:p>
      <w:pPr>
        <w:ind w:left="420"/>
      </w:pPr>
      <w:r>
        <w:t xml:space="preserve">5a. für Verpflichtete nach § 2 Absatz 1 Nummer 11 das Bundesamt für Justiz,</w:t>
      </w:r>
    </w:p>
    <w:p>
      <w:pPr>
        <w:ind w:left="420"/>
      </w:pPr>
      <w:r>
        <w:t xml:space="preserve">6. für Wirtschaftsprüfer und vereidigte Buchprüfer nach § 2 Absatz 1 Nummer 12 die Wirtschaftsprüferkammer (§ 57 Absatz 2 Nummer 17 der Wirtschaftsprüferordnung),</w:t>
      </w:r>
    </w:p>
    <w:p>
      <w:pPr>
        <w:ind w:left="420"/>
      </w:pPr>
      <w:r>
        <w:t xml:space="preserve">7. für Steuerberater und Steuerbevollmächtigte nach § 2 Absatz 1 Nummer 12 die jeweils örtlich zuständige Steuerberaterkammer (§ 76 des Steuerberatungsgesetzes),</w:t>
      </w:r>
    </w:p>
    <w:p>
      <w:pPr>
        <w:ind w:left="420"/>
      </w:pPr>
      <w:r>
        <w:t xml:space="preserve">7a. für Vereine nach § 4 Nummer 11 des Steuerberatungsgesetzes die für die Aufsicht nach § 27 des Steuerberatungsgesetzes zuständige Behörde,</w:t>
      </w:r>
    </w:p>
    <w:p>
      <w:pPr>
        <w:ind w:left="420"/>
      </w:pPr>
      <w:r>
        <w:t xml:space="preserve">8. für die Veranstalter und Vermittler von Glücksspielen nach § 2 Absatz 1 Nummer 15, soweit das Landesrecht nichts anderes bestimmt, die für die glücksspielrechtliche Aufsicht zuständige Behörde und</w:t>
      </w:r>
    </w:p>
    <w:p>
      <w:pPr>
        <w:ind w:left="420"/>
      </w:pPr>
      <w:r>
        <w:t xml:space="preserve">9. im Übrigen die jeweils nach Bundes- oder Landesrecht zuständige Stelle.</w:t>
      </w:r>
    </w:p>
    <w:p>
      <w:r>
        <w:rPr>
          <w:color w:val="555555"/>
          <w:sz w:val="17"/>
        </w:rPr>
        <w:t xml:space="preserve">Zitiervorschlag: § 50 GwG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https://recht.nulegal.eu/gesetze/GwG%202017/50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