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47 GwG 2017 — Verbot der Informationsweitergabe, Verordnungsermächtigung</w:t>
      </w:r>
    </w:p>
    <w:p>
      <w:r>
        <w:rPr>
          <w:color w:val="555555"/>
          <w:sz w:val="18"/>
        </w:rPr>
        <w:t xml:space="preserve">Geldwäschegesetz</w:t>
      </w:r>
    </w:p>
    <w:p>
      <w:r>
        <w:rPr>
          <w:color w:val="555555"/>
          <w:sz w:val="18"/>
        </w:rPr>
        <w:t xml:space="preserve">Stand: 30.06.2020 (konsolidierte Textfassung, kein amtliches Inkrafttretensdatum)</w:t>
      </w:r>
    </w:p>
    <w:p>
      <w:r>
        <w:t xml:space="preserve">(1) Ein Verpflichteter darf den Vertragspartner, den Auftraggeber der Transaktion und sonstige Dritte nicht in Kenntnis setzen von</w:t>
      </w:r>
    </w:p>
    <w:p>
      <w:pPr>
        <w:ind w:left="420"/>
      </w:pPr>
      <w:r>
        <w:t xml:space="preserve">1. einer beabsichtigten oder erstatteten Meldung nach § 43 Absatz 1,</w:t>
      </w:r>
    </w:p>
    <w:p>
      <w:pPr>
        <w:ind w:left="420"/>
      </w:pPr>
      <w:r>
        <w:t xml:space="preserve">2. einem Ermittlungsverfahren, das aufgrund einer Meldung nach § 43 Absatz 1 eingeleitet worden ist, und</w:t>
      </w:r>
    </w:p>
    <w:p>
      <w:pPr>
        <w:ind w:left="420"/>
      </w:pPr>
      <w:r>
        <w:t xml:space="preserve">3. einem Auskunftsverlangen nach § 30 Absatz 3 Satz 1.</w:t>
      </w:r>
    </w:p>
    <w:p>
      <w:r>
        <w:t xml:space="preserve">(2) Das Verbot gilt nicht für eine Informationsweitergabe</w:t>
      </w:r>
    </w:p>
    <w:p>
      <w:pPr>
        <w:ind w:left="420"/>
      </w:pPr>
      <w:r>
        <w:t xml:space="preserve">1. an staatliche Stellen,</w:t>
      </w:r>
    </w:p>
    <w:p>
      <w:pPr>
        <w:ind w:left="420"/>
      </w:pPr>
      <w:r>
        <w:t xml:space="preserve">2. zwischen Verpflichteten nach § 2 Absatz 1 Nummer 1 bis 3 und 6 bis 8, die derselben Unternehmensgruppe angehören,</w:t>
      </w:r>
    </w:p>
    <w:p>
      <w:pPr>
        <w:ind w:left="420"/>
      </w:pPr>
      <w:r>
        <w:t xml:space="preserve">3. zwischen Verpflichteten nach § 2 Absatz 1 Nummer 1 bis 3 und 6 bis 8, die Mutterunternehmen nach § 9 Absatz 1 sind, und ihren in Drittstaaten ansässigen und dort geldwäscherechtlichen Pflichten unterliegenden Zweigstellen und gruppenangehörigen Unternehmen gemäß § 1 Absatz 16 Nummer 2, sofern diese die Maßnahmen nach § 9 Absatz 1 Satz 2 Nummer 1, 3 und 4 wirksam umgesetzt haben,</w:t>
      </w:r>
    </w:p>
    <w:p>
      <w:pPr>
        <w:ind w:left="420"/>
      </w:pPr>
      <w:r>
        <w:t xml:space="preserve">4. zwischen Verpflichteten nach § 2 Absatz 1 Nummer 10 bis 12 aus Mitgliedstaaten der Europäischen Union oder aus Drittstaaten, in denen die Anforderungen an ein System zur Verhinderung von Geldwäsche und von Terrorismusfinanzierung denen der Richtlinie (EU) 2015/849 entsprechen, sofern die betreffenden Personen ihre berufliche Tätigkeit</w:t>
      </w:r>
    </w:p>
    <w:p>
      <w:pPr>
        <w:ind w:left="780"/>
      </w:pPr>
      <w:r>
        <w:t xml:space="preserve">a) selbständig ausüben,</w:t>
      </w:r>
    </w:p>
    <w:p>
      <w:pPr>
        <w:ind w:left="780"/>
      </w:pPr>
      <w:r>
        <w:t xml:space="preserve">b) angestellt in derselben juristischen Person ausüben oder</w:t>
      </w:r>
    </w:p>
    <w:p>
      <w:pPr>
        <w:ind w:left="780"/>
      </w:pPr>
      <w:r>
        <w:t xml:space="preserve">c) angestellt in einer Struktur ausüben, die einen gemeinsamen Eigentümer oder eine gemeinsame Leitung hat oder über eine gemeinsame Kontrolle in Bezug auf die Einhaltung der Vorschriften zur Verhinderung der Geldwäsche oder der Terrorismusfinanzierung verfügt,</w:t>
      </w:r>
    </w:p>
    <w:p>
      <w:pPr>
        <w:ind w:left="420"/>
      </w:pPr>
      <w:r>
        <w:t xml:space="preserve">5. zwischen Verpflichteten nach § 2 Absatz 1 Nummer 1 bis 3, 6, 7, 9, 10 und 12 in Fällen, die sich auf denselben Vertragspartner und auf dieselbe Transaktion beziehen, an der zwei oder mehr Verpflichtete beteiligt sind, wenn</w:t>
      </w:r>
    </w:p>
    <w:p>
      <w:pPr>
        <w:ind w:left="780"/>
      </w:pPr>
      <w:r>
        <w:t xml:space="preserve">a) die Verpflichteten ihren Sitz in einem Mitgliedstaat der Europäischen Union oder in einem Drittstaat haben, in dem die Anforderungen an ein System zur Verhinderung von Geldwäsche und Terrorismusfinanzierung den Anforderungen der Richtlinie (EU) 2015/849 entsprechen,</w:t>
      </w:r>
    </w:p>
    <w:p>
      <w:pPr>
        <w:ind w:left="780"/>
      </w:pPr>
      <w:r>
        <w:t xml:space="preserve">b) die Verpflichteten derselben Berufskategorie angehören und</w:t>
      </w:r>
    </w:p>
    <w:p>
      <w:pPr>
        <w:ind w:left="780"/>
      </w:pPr>
      <w:r>
        <w:t xml:space="preserve">c) für die Verpflichteten vergleichbare Verpflichtungen in Bezug auf das Berufsgeheimnis und auf den Schutz personenbezogener Daten gelten.</w:t>
      </w:r>
    </w:p>
    <w:p>
      <w:r>
        <w:t xml:space="preserve">Nach Satz 1 Nummer 2 bis 5 weitergegebene Informationen dürfen ausschließlich zum Zweck der Verhinderung der Geldwäsche oder der Terrorismusfinanzierung verwendet werden.</w:t>
      </w:r>
    </w:p>
    <w:p>
      <w:r>
        <w:t xml:space="preserve">(3) Soweit in diesem oder anderen Gesetzen nicht etwas anderes geregelt ist, dürfen andere staatliche Stellen als die Zentralstelle für Finanztransaktionsuntersuchungen, die Kenntnis von einer nach § 43 Absatz 1 abgegebenen Meldung erlangt haben, diese Informationen nicht weitergeben an</w:t>
      </w:r>
    </w:p>
    <w:p>
      <w:pPr>
        <w:ind w:left="420"/>
      </w:pPr>
      <w:r>
        <w:t xml:space="preserve">1. den Vertragspartner des Verpflichteten,</w:t>
      </w:r>
    </w:p>
    <w:p>
      <w:pPr>
        <w:ind w:left="420"/>
      </w:pPr>
      <w:r>
        <w:t xml:space="preserve">2. den Auftraggeber der Transaktion,</w:t>
      </w:r>
    </w:p>
    <w:p>
      <w:pPr>
        <w:ind w:left="420"/>
      </w:pPr>
      <w:r>
        <w:t xml:space="preserve">3. den wirtschaftlich Berechtigten,</w:t>
      </w:r>
    </w:p>
    <w:p>
      <w:pPr>
        <w:ind w:left="420"/>
      </w:pPr>
      <w:r>
        <w:t xml:space="preserve">4. eine Person, die von einer der in den Nummern 1 bis 3 genannten Personen als Vertreter oder Bote eingesetzt worden ist, und</w:t>
      </w:r>
    </w:p>
    <w:p>
      <w:pPr>
        <w:ind w:left="420"/>
      </w:pPr>
      <w:r>
        <w:t xml:space="preserve">5. den Rechtsbeistand, der von einer der in den Nummern 1 bis 4 genannten Personen mandatiert worden ist.</w:t>
      </w:r>
    </w:p>
    <w:p>
      <w:r>
        <w:t xml:space="preserve">Eine Weitergabe dieser Informationen an diese Personen ist nur zulässig, wenn die Zentralstelle für Finanztransaktionsuntersuchungen vorher ihr Einverständnis erklärt hat und durch die Weitergabe dieser Informationen der ursprüngliche Zweck der Verdachtsmeldung nicht verändert wird.</w:t>
      </w:r>
    </w:p>
    <w:p>
      <w:r>
        <w:t xml:space="preserve">(4) Nicht als Informationsweitergabe gilt, wenn sich Verpflichtete nach § 2 Absatz 1 Nummer 10 bis 12 bemühen, einen Mandanten davon abzuhalten, eine rechtswidrige Handlung zu begehen.</w:t>
      </w:r>
    </w:p>
    <w:p>
      <w:r>
        <w:t xml:space="preserve">(5) Verpflichtete nach § 2 Absatz 1 Nummer 1 bis 9 dürfen einander andere als die in Absatz 1 genannten Informationen über konkrete Sachverhalte, die auf Geldwäsche, eine ihrer Vortaten oder Terrorismusfinanzierung hindeutende Auffälligkeiten oder Ungewöhnlichkeiten enthalten, zur Kenntnis geben, wenn sie davon ausgehen können, dass andere Verpflichtete diese Informationen benötigen für</w:t>
      </w:r>
    </w:p>
    <w:p>
      <w:pPr>
        <w:ind w:left="420"/>
      </w:pPr>
      <w:r>
        <w:t xml:space="preserve">1. die Risikobeurteilung einer entsprechenden oder ähnlichen Transaktion oder Geschäftsbeziehung oder</w:t>
      </w:r>
    </w:p>
    <w:p>
      <w:pPr>
        <w:ind w:left="420"/>
      </w:pPr>
      <w:r>
        <w:t xml:space="preserve">2. die Beurteilung, ob eine Meldung nach § 43 Absatz 1 oder eine Strafanzeige nach § 158 der Strafprozessordnung erstattet werden sollte.</w:t>
      </w:r>
    </w:p>
    <w:p>
      <w:r>
        <w:t xml:space="preserve">Die Informationen dürfen auch unter Verwendung von Datenbanken zur Kenntnis gegeben werden, unabhängig davon, ob diese Datenbanken von den Verpflichteten nach § 2 Absatz 1 Nummer 1 bis 9 selbst oder von Dritten betrieben werden. Die weitergegebenen Informationen dürfen ausschließlich zum Zweck der Verhinderung der Geldwäsche, ihrer Vortaten oder der Terrorismusfinanzierung und nur unter den durch den übermittelnden Verpflichteten vorgegebenen Bedingungen verwendet werden.</w:t>
      </w:r>
    </w:p>
    <w:p>
      <w:r>
        <w:t xml:space="preserve">(6) Das Bundesministerium der Finanzen kann im Einvernehmen mit dem Bundesministerium des Innern, für Bau und Heimat, dem Bundesministerium der Justiz und für Verbraucherschutz und dem Bundesministerium für Wirtschaft und Energie durch Rechtsverordnung ohne Zustimmung des Bundesrates weitere Regelungen treffen, nach denen in Bezug auf Verpflichtete aus Drittstaaten mit erhöhtem Risiko nach Artikel 9 der Richtlinie (EU) 2015/849 keine Informationen weitergegeben werden dürfen.</w:t>
      </w:r>
    </w:p>
    <w:p>
      <w:r>
        <w:rPr>
          <w:color w:val="555555"/>
          <w:sz w:val="17"/>
        </w:rPr>
        <w:t xml:space="preserve">Zitiervorschlag: § 47 GwG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https://recht.nulegal.eu/gesetze/GwG%202017/47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