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GwG 2017 — Rückmeldung an Verpflichtete und Behörden</w:t>
      </w:r>
    </w:p>
    <w:p>
      <w:r>
        <w:rPr>
          <w:color w:val="555555"/>
          <w:sz w:val="18"/>
        </w:rPr>
        <w:t xml:space="preserve">Geldwäschegesetz</w:t>
      </w:r>
    </w:p>
    <w:p>
      <w:r>
        <w:rPr>
          <w:color w:val="555555"/>
          <w:sz w:val="18"/>
        </w:rPr>
        <w:t xml:space="preserve">Stand: 18.11.2023 (konsolidierte Textfassung, kein amtliches Inkrafttretensdatum)</w:t>
      </w:r>
    </w:p>
    <w:p>
      <w:r>
        <w:t xml:space="preserve">(1) Die Zentralstelle für Finanztransaktionsuntersuchungen bestätigt dem Verpflichteten, der eine Meldung nach § 43 Absatz 1 durch elektronische Datenübermittlung abgegeben hat, unverzüglich den Eingang seiner Meldung.</w:t>
      </w:r>
    </w:p>
    <w:p>
      <w:r>
        <w:t xml:space="preserve">(2) Die Zentralstelle für Finanztransaktionsuntersuchungen gibt dem Verpflichteten in angemessener Zeit Rückmeldung zur Relevanz seiner Meldung. Der Verpflichtete darf hierdurch erlangte personenbezogene Daten nur zur Verbesserung seines Risikomanagements, der Erfüllung seiner Sorgfaltspflichten und seines Meldeverhaltens nutzen. Er hat diese Daten zu löschen, wenn sie für den jeweiligen Zweck nicht mehr erforderlich sind, spätestens jedoch nach einem Jahr.</w:t>
      </w:r>
    </w:p>
    <w:p>
      <w:r>
        <w:t xml:space="preserve">(3) Die Absätze 1 und 2 Satz 1 gelten auch im Falle des § 44 dieses Gesetzes und des § 31b Absatz 2 der Abgabenordnung.</w:t>
      </w:r>
    </w:p>
    <w:p>
      <w:r>
        <w:rPr>
          <w:color w:val="555555"/>
          <w:sz w:val="17"/>
        </w:rPr>
        <w:t xml:space="preserve">Zitiervorschlag: § 41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