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GwG 2017 — Berichtigung, Einschränkung der Verarbeitung und Vernichtung personenbezogener Daten, die weder automatisiert verarbeitet werden noch in einer automatisierten Datei gespeichert sind</w:t>
      </w:r>
    </w:p>
    <w:p>
      <w:r>
        <w:rPr>
          <w:color w:val="555555"/>
          <w:sz w:val="18"/>
        </w:rPr>
        <w:t xml:space="preserve">Geldwäschegesetz</w:t>
      </w:r>
    </w:p>
    <w:p>
      <w:r>
        <w:rPr>
          <w:color w:val="555555"/>
          <w:sz w:val="18"/>
        </w:rPr>
        <w:t xml:space="preserve">Stand: 03.09.2021 (konsolidierte Textfassung, kein amtliches Inkrafttretensdatum)</w:t>
      </w:r>
    </w:p>
    <w:p>
      <w:r>
        <w:t xml:space="preserve">(1) Die Zentralstelle für Finanztransaktionsuntersuchungen hält in geeigneter Weise fest, wenn</w:t>
      </w:r>
    </w:p>
    <w:p>
      <w:pPr>
        <w:ind w:left="420"/>
      </w:pPr>
      <w:r>
        <w:t xml:space="preserve">1. sie feststellt, dass personenbezogene Daten, die weder automatisiert verarbeitet werden noch in einer automatisierten Datei gespeichert sind, unrichtig sind, oder</w:t>
      </w:r>
    </w:p>
    <w:p>
      <w:pPr>
        <w:ind w:left="420"/>
      </w:pPr>
      <w:r>
        <w:t xml:space="preserve">2. die Richtigkeit der personenbezogenen Daten, die weder automatisiert verarbeitet werden noch in einer automatisierten Datei gespeichert sind, von dem Betroffenen bestritten wird.</w:t>
      </w:r>
    </w:p>
    <w:p>
      <w:r>
        <w:t xml:space="preserve">(2) Die Zentralstelle für Finanztransaktionsuntersuchungen schränkt die Verarbeitung personenbezogener Daten, die weder automatisiert verarbeitet werden noch in einer automatisierten Datei gespeichert sind, ein, wenn sie im Einzelfall feststellt, dass</w:t>
      </w:r>
    </w:p>
    <w:p>
      <w:pPr>
        <w:ind w:left="420"/>
      </w:pPr>
      <w:r>
        <w:t xml:space="preserve">1. ohne die Einschränkung der Verarbeitung schutzwürdige Interessen des Betroffenen beeinträchtigt würden und</w:t>
      </w:r>
    </w:p>
    <w:p>
      <w:pPr>
        <w:ind w:left="420"/>
      </w:pPr>
      <w:r>
        <w:t xml:space="preserve">2. die Daten für die Aufgabenerfüllung nicht mehr erforderlich sind.</w:t>
      </w:r>
    </w:p>
    <w:p>
      <w:r>
        <w:t xml:space="preserve">Die personenbezogenen Daten sind auch dann in der Verarbeitung einzuschränken, wenn für sie eine Löschungsverpflichtung nach § 37 Absatz 2 besteht.</w:t>
      </w:r>
    </w:p>
    <w:p>
      <w:r>
        <w:t xml:space="preserve">(3) Die Zentralstelle für Finanztransaktionsuntersuchungen vernichtet die Unterlagen mit personenbezogenen Daten entsprechend den Bestimmungen über die Aufbewahrung von Akten, wenn diese Unterlagen insgesamt zur Erfüllung der Aufgaben der Zentralstelle für Finanztransaktionsuntersuchungen nicht mehr erforderlich sind.</w:t>
      </w:r>
    </w:p>
    <w:p>
      <w:r>
        <w:t xml:space="preserve">(4) Die Vernichtung unterbleibt, wenn</w:t>
      </w:r>
    </w:p>
    <w:p>
      <w:pPr>
        <w:ind w:left="420"/>
      </w:pPr>
      <w:r>
        <w:t xml:space="preserve">1. Anhaltspunkte vorliegen, dass anderenfalls schutzwürdige Interessen des Betroffenen beeinträchtigt würden, oder</w:t>
      </w:r>
    </w:p>
    <w:p>
      <w:pPr>
        <w:ind w:left="420"/>
      </w:pPr>
      <w:r>
        <w:t xml:space="preserve">2. die Daten für laufende Forschungsarbeiten benötigt werden.</w:t>
      </w:r>
    </w:p>
    <w:p>
      <w:r>
        <w:t xml:space="preserve">In diesen Fällen schränkt die Zentralstelle für Finanztransaktionsuntersuchungen die Verarbeitung der Daten ein und versieht die Unterlagen mit einem Einschränkungsvermerk. Für die Einschränkung gilt § 37 Absatz 3 Satz 2 und 3 entsprechend.</w:t>
      </w:r>
    </w:p>
    <w:p>
      <w:r>
        <w:t xml:space="preserve">(5) Anstelle der Vernichtung nach Absatz 3 sind die Unterlagen an das zuständige Archiv abzugeben, sofern diesen Unterlagen ein bleibender Wert nach § 3 des Bundesarchivgesetzes vom 10. März 2017 (BGBl. I S. 410), das zuletzt durch Artikel 1 des Gesetzes vom 9. April 2021 (BGBl. I S. 750) geändert worden ist, in der jeweils geltenden Fassung zukommt.</w:t>
      </w:r>
    </w:p>
    <w:p>
      <w:r>
        <w:t xml:space="preserve">(6) Für den Fall, dass unrichtige, zu löschende oder in der Verarbeitung einzuschränkende personenbezogene Daten übermittelt worden sind, gilt § 37 Absatz 7 entsprechend.</w:t>
      </w:r>
    </w:p>
    <w:p>
      <w:r>
        <w:rPr>
          <w:color w:val="555555"/>
          <w:sz w:val="17"/>
        </w:rPr>
        <w:t xml:space="preserve">Zitiervorschlag: § 38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https://recht.nulegal.eu/gesetze/GwG%202017/38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