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GwG 2017 — Zentrale Meldestelle</w:t>
      </w:r>
    </w:p>
    <w:p>
      <w:r>
        <w:rPr>
          <w:color w:val="555555"/>
          <w:sz w:val="18"/>
        </w:rPr>
        <w:t xml:space="preserve">Geldwäschegesetz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Zentrale Meldestelle zur Verhinderung, Aufdeckung und Unterstützung bei der Bekämpfung von Geldwäsche und Terrorismusfinanzierung nach Artikel 32 Absatz 1 der Richtlinie (EU) 2015/849 ist die Zentralstelle für Finanztransaktionsuntersuchungen.</w:t>
      </w:r>
    </w:p>
    <w:p>
      <w:r>
        <w:t xml:space="preserve">(2) Die Zentralstelle für Finanztransaktionsuntersuchungen ist organisatorisch eigenständig und arbeitet im Rahmen ihrer Aufgaben und Befugnisse fachlich unabhängig.</w:t>
      </w:r>
    </w:p>
    <w:p>
      <w:r>
        <w:rPr>
          <w:color w:val="555555"/>
          <w:sz w:val="17"/>
        </w:rPr>
        <w:t xml:space="preserve">Zitiervorschlag: § 27 GwG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https://recht.nulegal.eu/gesetze/GwG%202017/27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