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26a GwG 2017 — Abruf durch bestimmte Behörden</w:t>
      </w:r>
    </w:p>
    <w:p>
      <w:r>
        <w:rPr>
          <w:color w:val="555555"/>
          <w:sz w:val="18"/>
        </w:rPr>
        <w:t xml:space="preserve">Geldwäschegesetz</w:t>
      </w:r>
    </w:p>
    <w:p>
      <w:r>
        <w:rPr>
          <w:color w:val="555555"/>
          <w:sz w:val="18"/>
        </w:rPr>
        <w:t xml:space="preserve">Stand: 18.11.2023 (konsolidierte Textfassung, kein amtliches Inkrafttretensdatum)</w:t>
      </w:r>
    </w:p>
    <w:p>
      <w:r>
        <w:t xml:space="preserve">(1) Die registerführende Stelle übermittelt die erforderlichen Informationen aus dem Transparenzregister an</w:t>
      </w:r>
    </w:p>
    <w:p>
      <w:pPr>
        <w:ind w:left="420"/>
      </w:pPr>
      <w:r>
        <w:t xml:space="preserve">1. die Zentralstelle für Finanztransaktionsuntersuchungen für Zwecke nach § 28 Absatz 1 Satz 3 Nummer 2, 4 und 8,</w:t>
      </w:r>
    </w:p>
    <w:p>
      <w:pPr>
        <w:ind w:left="420"/>
      </w:pPr>
      <w:r>
        <w:t xml:space="preserve">2. die Strafverfolgungsbehörden für ihre Aufgabenerfüllung,</w:t>
      </w:r>
    </w:p>
    <w:p>
      <w:pPr>
        <w:ind w:left="420"/>
      </w:pPr>
      <w:r>
        <w:t xml:space="preserve">3. die Aufsichtsbehörden, soweit dies im Einzelfall für die Erfüllung ihrer Aufgaben nach § 51 erforderlich ist,</w:t>
      </w:r>
    </w:p>
    <w:p>
      <w:pPr>
        <w:ind w:left="420"/>
      </w:pPr>
      <w:r>
        <w:t xml:space="preserve">4. das Bundeszentralamt für Steuern und die örtlichen Finanzbehörden nach § 6 Absatz 2 Nummer 5 der Abgabenordnung, soweit dies im Einzelfall für die Erfüllung ihrer jeweiligen Aufgaben erforderlich ist,</w:t>
      </w:r>
    </w:p>
    <w:p>
      <w:pPr>
        <w:ind w:left="420"/>
      </w:pPr>
      <w:r>
        <w:t xml:space="preserve">5. die Verfassungsschutzbehörden des Bundes und der Länder, soweit dies im Einzelfall zur Erfüllung ihrer Aufgaben erforderlich ist,</w:t>
      </w:r>
    </w:p>
    <w:p>
      <w:pPr>
        <w:ind w:left="420"/>
      </w:pPr>
      <w:r>
        <w:t xml:space="preserve">6. das Zollkriminalamt, soweit dies im Einzelfall zur Erfüllung seiner Aufgaben nach § 4 Absatz 2 und 3 des Zollfahndungsdienstgesetzes erforderlich ist,</w:t>
      </w:r>
    </w:p>
    <w:p>
      <w:pPr>
        <w:ind w:left="420"/>
      </w:pPr>
      <w:r>
        <w:t xml:space="preserve">7. die nach § 13 des Außenwirtschaftsgesetzes zuständigen Behörden, soweit dies im Einzelfall zur Erfüllung ihrer Aufgaben erforderlich ist,</w:t>
      </w:r>
    </w:p>
    <w:p>
      <w:pPr>
        <w:ind w:left="420"/>
      </w:pPr>
      <w:r>
        <w:t xml:space="preserve">8. den Bundesnachrichtendienst, soweit dies erforderlich ist</w:t>
      </w:r>
    </w:p>
    <w:p>
      <w:pPr>
        <w:ind w:left="780"/>
      </w:pPr>
      <w:r>
        <w:t xml:space="preserve">a) zur politischen Unterrichtung der Bundesregierung, wenn durch die Auskunft Informationen über das Ausland gewonnen werden können, die von außen- und sicherheitspolitischer Bedeutung für die Bundesrepublik Deutschland sind und zu deren Aufklärung das Bundeskanzleramt den Bundesnachrichtendienst beauftragt hat, oder</w:t>
      </w:r>
    </w:p>
    <w:p>
      <w:pPr>
        <w:ind w:left="780"/>
      </w:pPr>
      <w:r>
        <w:t xml:space="preserve">b) zur Früherkennung von aus dem Ausland drohenden Gefahren von internationaler Bedeutung, wenn durch die Auskunft Erkenntnisse gewonnen werden können mit Bezug zu den in § 4 Absatz 3 Nummer 1 des BND-Gesetzes genannten Gefahrenbereichen oder zum Schutz der in § 4 Absatz 3 Nummer 2 und 3 des BND-Gesetzes genannten Rechtsgüter,</w:t>
      </w:r>
    </w:p>
    <w:p>
      <w:pPr>
        <w:ind w:left="420"/>
      </w:pPr>
      <w:r>
        <w:t xml:space="preserve">9. die Zentralstelle für Sanktionsdurchsetzung, soweit dies im Einzelfall zur Erfüllung ihrer Aufgaben erforderlich ist.</w:t>
      </w:r>
    </w:p>
    <w:p>
      <w:r>
        <w:t xml:space="preserve">(2) Die Übermittlung erfolgt im Wege des automatisierten Abrufs. Die registerführende Stelle richtet für Abfragen nach Absatz 1 einen nach den Vorgaben der registerführenden Stelle ausgestalteten automatisierten Zugriff auf die im Transparenzregister gespeicherten Daten ein, der auch die Suche nach</w:t>
      </w:r>
    </w:p>
    <w:p>
      <w:pPr>
        <w:ind w:left="420"/>
      </w:pPr>
      <w:r>
        <w:t xml:space="preserve">1. wirtschaftlich Berechtigten einer Vereinigung nach § 20 oder einer Rechtsgestaltung nach § 21 über die Angaben „Name“ und „Vorname“ sowie zusätzlich „Geburtsdatum“, „Wohnort“ oder „Staatsangehörigkeit“ des wirtschaftlich Berechtigten oder</w:t>
      </w:r>
    </w:p>
    <w:p>
      <w:pPr>
        <w:ind w:left="420"/>
      </w:pPr>
      <w:r>
        <w:t xml:space="preserve">2. Immobilien über alle Angaben nach § 19a</w:t>
      </w:r>
    </w:p>
    <w:p>
      <w:r>
        <w:t xml:space="preserve">erlaubt. § 23 bleibt unberührt.</w:t>
      </w:r>
    </w:p>
    <w:p>
      <w:r>
        <w:t xml:space="preserve">(3) Die beteiligten Stellen haben zu gewährleisten, dass für Abfragen nach Absatz 1 dem jeweiligen Stand der Technik entsprechende Maßnahmen zur Sicherstellung von Datenschutz und Datensicherheit getroffen werden, die insbesondere die Vertraulichkeit und Unversehrtheit der Daten gewährleisten.</w:t>
      </w:r>
    </w:p>
    <w:p>
      <w:r>
        <w:rPr>
          <w:color w:val="555555"/>
          <w:sz w:val="17"/>
        </w:rPr>
        <w:t xml:space="preserve">Zitiervorschlag: § 26a GwG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https://recht.nulegal.eu/gesetze/GwG%202017/26a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26a GwG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