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GwG 2017 — Europäisches System der Registervernetzung, Verordnungsermächtigung</w:t>
      </w:r>
    </w:p>
    <w:p>
      <w:r>
        <w:rPr>
          <w:color w:val="555555"/>
          <w:sz w:val="18"/>
        </w:rPr>
        <w:t xml:space="preserve">Geldwäschegesetz</w:t>
      </w:r>
    </w:p>
    <w:p>
      <w:r>
        <w:rPr>
          <w:color w:val="555555"/>
          <w:sz w:val="18"/>
        </w:rPr>
        <w:t xml:space="preserve">Stand: 03.09.2021 (konsolidierte Textfassung, kein amtliches Inkrafttretensdatum)</w:t>
      </w:r>
    </w:p>
    <w:p>
      <w:r>
        <w:t xml:space="preserve">(1) Die in § 22 Absatz 1 Satz 1 Nummer 1 aufgeführten Daten sind, sofern sie Vereinigungen nach § 20 sowie Rechtsgestaltungen nach § 21 betreffen, über die durch Artikel 22 Absatz 1 der Richtlinie (EU) 2017/1132 des Europäischen Parlaments und des Rates vom 14. Juni 2017 über bestimmte Aspekte des Gesellschaftsrechts geschaffene zentrale Europäische Plattform zugänglich. § 23 Absatz 1 bis 3 gilt entsprechend. Zur Zugänglichmachung über die zentrale Europäische Plattform übermittelt die registerführende Stelle die dem Transparenzregister nach § 20 Absatz 1 und § 21 mitgeteilten Daten sowie die nach Maßgabe der von der Europäischen Kommission gemäß Artikel 31a der Richtlinie (EU) 2018/843 erlassenen Durchführungsakte erforderlichen Daten sowie die Indexdaten nach § 22 Absatz 2 an die zentrale Europäische Plattform nach Artikel 22 Absatz 1 der Richtlinie (EU) 2017/1132 und Artikel 4a Absatz 1 der Richtlinie 2009/101/EG des Europäischen Parlaments und des Rates vom 16. September 2009 zur Koordinierung der Schutzbestimmungen, die in den Mitgliedstaaten den Gesellschaften im Sinne des Artikels 48 Absatz 2 des Vertrags im Interesse der Gesellschafter sowie Dritter vorgeschrieben sind, um diese Bestimmungen gleichwertig zu gestalten (ABl. L 258 vom 1.10.2009, S. 11), die zuletzt durch die Richtlinie 2013/24/EU (ABl. L 158 vom 10.6.2013, S. 365) geändert worden ist, sofern die Übermittlung für die Eröffnung eines Zugangs zu den Originaldaten über den Suchdienst auf der Internetseite der zentralen Europäischen Plattform erforderlich ist.</w:t>
      </w:r>
    </w:p>
    <w:p>
      <w:r>
        <w:t xml:space="preserve">(2) Das Transparenzregister ist mit den Registern anderer Mitgliedstaaten der Europäischen Union im Sinne von Artikel 22 Absatz 2 der Richtlinie (EU) 2017/1132 über die durch Artikel 22 Absatz 1 der Richtlinie (EU) 2017/1132 geschaffene zentrale Europäische Plattform zu vernetzen. Die Vernetzung der Register der Mitgliedstaaten über die Plattform erfolgt nach Maßgabe der technischen Spezifikationen und Verfahren, die durch von der Europäischen Kommission gemäß Artikel 24 der Richtlinie (EU) 2017/1132 und Artikel 1 Nummer 17 der Richtlinie (EU) 2018/843 erlassene Durchführungsrechtsakte festgelegt werden.</w:t>
      </w:r>
    </w:p>
    <w:p>
      <w:r>
        <w:t xml:space="preserve">(3) Daten nach § 22 Absatz 1 Satz 1, soweit sie Vereinigungen nach § 20 oder Rechtsgestaltungen nach § 21 betreffen, sind nach Abschluss der Abwicklung und, soweit sie registerlich geführt sind, nach Löschung im Register der juristischen Personen des Privatrechts, eingetragenen Personengesellschaften oder Rechtsgestaltungen noch für einen Zeitraum von mindestens fünf und höchstens zehn Jahren über das Transparenzregister und die durch Artikel 22 Absatz 1 der Richtlinie (EU) 2017/1132 geschaffene zentrale Europäische Plattform zugänglich.</w:t>
      </w:r>
    </w:p>
    <w:p>
      <w:r>
        <w:t xml:space="preserve">(4) Das Bundesministerium der Finanzen wird im Benehmen mit dem Bundesministerium der Justiz und für Verbraucherschutz ermächtigt, durch Rechtsverordnung, die der Zustimmung des Bundesrates bedarf, die erforderlichen Bestimmungen über die Einzelheiten des elektronischen Datenverkehrs und seiner Abwicklung nach Absatz 1 einschließlich Vorgaben über Datenformate und Zahlungsmodalitäten zu treffen, soweit keine Regelungen in den von der Europäischen Kommission gemäß Artikel 24 der Richtlinie (EU) 2017/1132 und Artikel 31a der Richtlinie (EU) 2018/843 erlassenen Durchführungsrechtsakten enthalten sind.</w:t>
      </w:r>
    </w:p>
    <w:p>
      <w:r>
        <w:rPr>
          <w:color w:val="555555"/>
          <w:sz w:val="17"/>
        </w:rPr>
        <w:t xml:space="preserve">Zitiervorschlag: § 26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