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23b GwG 2017 — Meldung von Unstimmigkeiten bei der Zuordnung von Immobilien</w:t>
      </w:r>
    </w:p>
    <w:p>
      <w:r>
        <w:rPr>
          <w:color w:val="555555"/>
          <w:sz w:val="18"/>
        </w:rPr>
        <w:t xml:space="preserve">Geldwäschegesetz</w:t>
      </w:r>
    </w:p>
    <w:p>
      <w:r>
        <w:rPr>
          <w:color w:val="555555"/>
          <w:sz w:val="18"/>
        </w:rPr>
        <w:t xml:space="preserve">Stand: 01.01.2026 (konsolidierte Textfassung, kein amtliches Inkrafttretensdatum)</w:t>
      </w:r>
    </w:p>
    <w:p>
      <w:r>
        <w:t xml:space="preserve">(1) Die in § 23 Absatz 1 Satz 1 Nummer 1 aufgeführten Behörden, Verpflichtete nach § 2 Absatz 1 Nummer 1 bis 3 und 7 sowie Notare haben der registerführenden Stelle Abweichungen unverzüglich zu melden, die sie zwischen den Angaben über die Immobilien, die im Transparenzregister zugänglich sind, und den ihnen zur Verfügung stehenden Angaben und Erkenntnissen über Immobilien feststellen. § 43 Absatz 2 gilt entsprechend.</w:t>
      </w:r>
    </w:p>
    <w:p>
      <w:r>
        <w:t xml:space="preserve">(2) Die registerführende Stelle hat auf der Internetseite des Transparenzregisters deutlich sichtbar eine Vorkehrung einzurichten, über die Meldungen nach Absatz 1 abzugeben sind.</w:t>
      </w:r>
    </w:p>
    <w:p>
      <w:r>
        <w:t xml:space="preserve">(3) Die registerführende Stelle hat die Meldung nach Absatz 1 unverzüglich zu prüfen. Hierzu kann sie von dem Erstatter der Meldung und von der betroffenen Vereinigung nach § 20 die zur Aufklärung erforderlichen Informationen und Unterlagen verlangen oder Einsicht in das Grundbuch der betroffenen Immobilien nehmen. Die Prüfung der Meldung nach Absatz 1 stellt ein berechtigtes Interesse im Sinne des § 12 Absatz 1 der Grundbuchordnung dar.</w:t>
      </w:r>
    </w:p>
    <w:p>
      <w:r>
        <w:t xml:space="preserve">(4) Die registerführende Stelle hat die Erfassung oder Zuordnung von Immobilien zu berichtigen, wenn sie zu dem Ergebnis gelangt, dass die gemeldete Abweichung zutreffend ist.</w:t>
      </w:r>
    </w:p>
    <w:p>
      <w:r>
        <w:rPr>
          <w:color w:val="555555"/>
          <w:sz w:val="17"/>
        </w:rPr>
        <w:t xml:space="preserve">Zitiervorschlag: § 23b GwG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https://recht.nulegal.eu/gesetze/GwG%202017/23b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