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GwG 2017 — Einsichtnahme in das Transparenzregister, Verordnungsermächtigung</w:t>
      </w:r>
    </w:p>
    <w:p>
      <w:r>
        <w:rPr>
          <w:color w:val="555555"/>
          <w:sz w:val="18"/>
        </w:rPr>
        <w:t xml:space="preserve">Geldwäschegesetz</w:t>
      </w:r>
    </w:p>
    <w:p>
      <w:r>
        <w:rPr>
          <w:color w:val="555555"/>
          <w:sz w:val="18"/>
        </w:rPr>
        <w:t xml:space="preserve">Stand: 14.03.2026 (konsolidierte Textfassung, kein amtliches Inkrafttretensdatum)</w:t>
      </w:r>
    </w:p>
    <w:p>
      <w:r>
        <w:t xml:space="preserve">(1) Bei Vereinigungen nach § 20 Absatz 1 Satz 1 und Rechtsgestaltungen nach § 21 ist die Einsichtnahme gestattet:</w:t>
      </w:r>
    </w:p>
    <w:p>
      <w:pPr>
        <w:ind w:left="420"/>
      </w:pPr>
      <w:r>
        <w:t xml:space="preserve">1. den Behörden, Gerichten sowie den in § 2 Absatz 4 genannten Stellen, soweit die Einsichtnahme zur Erfüllung ihrer gesetzlichen Aufgaben erforderlich ist,</w:t>
      </w:r>
    </w:p>
    <w:p>
      <w:pPr>
        <w:ind w:left="420"/>
      </w:pPr>
      <w:r>
        <w:t xml:space="preserve">2. den Verpflichteten, sofern sie der registerführenden Stelle darlegen, dass die Einsichtnahme zur Erfüllung ihrer Sorgfaltspflichten in einem der in § 10 Absatz 3 und 3a genannten Fälle erfolgt, und</w:t>
      </w:r>
    </w:p>
    <w:p>
      <w:pPr>
        <w:ind w:left="420"/>
      </w:pPr>
      <w:r>
        <w:t xml:space="preserve">3. jedem, der der registerführenden Stelle ein berechtigtes Interesse nachweisen kann.</w:t>
      </w:r>
    </w:p>
    <w:p>
      <w:r>
        <w:t xml:space="preserve">In diesen Fällen ist die registerführende Stelle befugt, die zugänglichen Daten an den Einsichtnehmenden zu übermitteln. In den Fällen des Satzes 1 Nummer 1 und 2 übermittelt die registerführende Stelle neben den Angaben nach § 19 Absatz 1 auch die Eigentums- und Kontrollstrukturübersichten nach § 23a Absatz 3a, soweit diese zu den übermittelten Angaben nach § 19 Absatz 1 aufgrund einer abgeschlossenen Unstimmigkeitsmeldung vorhanden sind. Im Fall des Satzes 1 Nummer 3 sind neben den Angaben nach § 19 Absatz 1 Nummer 1 und 4 nur Monat und Jahr der Geburt des wirtschaftlich Berechtigten, sein Wohnsitzland und alle Staatsangehörigkeiten der Einsichtnahme zugänglich und dürfen übermittelt werden. Gegenüber den Behörden, Gerichten, den in § 2 Absatz 4 genannten Stellen und gegenüber Verpflichteten nach § 2 Absatz 1 Nummer 1 bis 3 und 7 sowie gegenüber Notaren sind zusätzlich die Angaben nach § 19a zu allen im Transparenzregister erfassten Immobilien der Einsichtnahme zugänglich und dürfen übermittelt werden.</w:t>
      </w:r>
    </w:p>
    <w:p>
      <w:r>
        <w:t xml:space="preserve">(2) Auf Antrag des wirtschaftlich Berechtigten beschränkt die registerführende Stelle die Einsichtnahme in das Transparenzregister und die Übermittlung der Daten nach § 19 Absatz 1 vollständig oder teilweise, wenn ihr der wirtschaftlich Berechtigte darlegt, dass der Einsichtnahme und der Übermittlung unter Berücksichtigung aller Umstände des Einzelfalls überwiegende schutzwürdige Interessen des wirtschaftlich Berechtigten entgegenstehen. Schutzwürdige Interessen liegen vor, wenn</w:t>
      </w:r>
    </w:p>
    <w:p>
      <w:pPr>
        <w:ind w:left="420"/>
      </w:pPr>
      <w:r>
        <w:t xml:space="preserve">1. Tatsachen die Annahme rechtfertigen, dass die Einsichtnahme und Übermittlung den wirtschaftlich Berechtigten der Gefahr aussetzen würde, Opfer einer der folgenden Straftaten zu werden:</w:t>
      </w:r>
    </w:p>
    <w:p>
      <w:pPr>
        <w:ind w:left="780"/>
      </w:pPr>
      <w:r>
        <w:t xml:space="preserve">a) eines Betrugs (§ 263 des Strafgesetzbuchs),</w:t>
      </w:r>
    </w:p>
    <w:p>
      <w:pPr>
        <w:ind w:left="780"/>
      </w:pPr>
      <w:r>
        <w:t xml:space="preserve">b) eines erpresserischen Menschenraubs (§ 239a des Strafgesetzbuchs),</w:t>
      </w:r>
    </w:p>
    <w:p>
      <w:pPr>
        <w:ind w:left="780"/>
      </w:pPr>
      <w:r>
        <w:t xml:space="preserve">c) einer Geiselnahme (§ 239b des Strafgesetzbuchs),</w:t>
      </w:r>
    </w:p>
    <w:p>
      <w:pPr>
        <w:ind w:left="780"/>
      </w:pPr>
      <w:r>
        <w:t xml:space="preserve">d) einer Erpressung oder räuberischen Erpressung (§§ 253, 255 des Strafgesetzbuchs),</w:t>
      </w:r>
    </w:p>
    <w:p>
      <w:pPr>
        <w:ind w:left="780"/>
      </w:pPr>
      <w:r>
        <w:t xml:space="preserve">e) einer strafbaren Handlung gegen Leib oder Leben (§§ 211, 212, 223, 224, 226, 227 des Strafgesetzbuchs),</w:t>
      </w:r>
    </w:p>
    <w:p>
      <w:pPr>
        <w:ind w:left="780"/>
      </w:pPr>
      <w:r>
        <w:t xml:space="preserve">f) einer Nötigung (§ 240 des Strafgesetzbuchs),</w:t>
      </w:r>
    </w:p>
    <w:p>
      <w:pPr>
        <w:ind w:left="780"/>
      </w:pPr>
      <w:r>
        <w:t xml:space="preserve">g) einer Bedrohung (§ 241 des Strafgesetzbuchs) oder</w:t>
      </w:r>
    </w:p>
    <w:p>
      <w:pPr>
        <w:ind w:left="420"/>
      </w:pPr>
      <w:r>
        <w:t xml:space="preserve">2. der wirtschaftlich Berechtigte minderjährig oder geschäftsunfähig ist.</w:t>
      </w:r>
    </w:p>
    <w:p>
      <w:r>
        <w:t xml:space="preserve">Schutzwürdige Interessen des wirtschaftlich Berechtigten liegen nicht vor, wenn sich die Daten bereits aus den in § 22 Absatz 1 genannten Registern ergeben. Die Beschränkung der Einsichtnahme und Übermittlung nach Satz 1 ist nicht möglich gegenüber Behörden, Gerichten und den in § 2 Absatz 4 genannten Stellen, gegenüber Verpflichteten nach § 2 Absatz 1 Nummer 1 bis 3 und 7 sowie gegenüber Notaren. Die registerführende Stelle hat jährlich eine Statistik über die Anzahl der bewilligten Beschränkungen und darüber, ob die Beschränkungen nach Satz 2 Nummer 1 oder 2 erfolgt sind, zu erstellen, auf ihrer Internetseite zu veröffentlichen und an die Europäische Kommission zu übermitteln.</w:t>
      </w:r>
    </w:p>
    <w:p>
      <w:r>
        <w:t xml:space="preserve">(3) Behörden, Gerichte und die in § 2 Absatz 4 genannte Stellen sowie diejenigen in § 23 Absatz 1 Satz 1 Nummer 2 genannten Verpflichteten, gegenüber denen die Beschränkung der Einsichtnahme und Übermittlung nach § 23 Absatz 2 Satz 4 nicht möglich ist, können die Einsichtnahme mittels eines durch die registerführende Stelle geschaffenen und nach ihren Vorgaben ausgestalteten automatisierten Einsichtnahmeverfahrens durchführen. Die registerführende Stelle ist befugt, den in Satz 1 genannten Stellen die nach Maßgabe des Absatzes 1 zugänglichen Daten im automatisierten Verfahren zu übermitteln. Bestehen Zweifel daran, dass die Einsichtnahme zur Erfüllung der gesetzlichen Aufgaben einer Behörde, eines Gerichts oder einer in § 2 Absatz 4 genannten Stelle erforderlich ist oder zur Erfüllung der Sorgfaltspflicht eines Verpflichteten nach Satz 1 erfolgt, ist die registerführende Stelle berechtigt, die Verfahren nach den Sätzen 1 und 2 zu sperren. Sie kann die Behörde nach Satz 1 zur Bestätigung, dass die Einsichtnahme zur Erfüllung der gesetzlichen Aufgaben erforderlich ist, auffordern und den Verpflichteten nach Satz 1 dauerhaft auf das für alle Verpflichteten geltende Verfahren nach Absatz 1 verweisen. Die Bestätigung nach Satz 4 hat durch den Dienstvorgesetzten zu erfolgen. Die beteiligten Stellen haben zu gewährleisten, dass für Einsichtnahmen und Datenübermittlungen im automatisierten Verfahren die erforderlichen technischen und organisatorischen Maßnahmen nach den Artikeln 24, 25 und 32 der Verordnung (EU) 2016/679 des Europäischen Parlaments und des Rates vom 27. April 2016 zum Schutz natürlicher Personen bei der Verarbeitung personenbezogener Daten, zum freien Datenverkehr und zur Aufhebung der Richtlinie 95/46/EG zur Sicherstellung von Datenschutz und Datensicherheit getroffen werden, die insbesondere die Vertraulichkeit und Unversehrtheit der Daten gewährleisten.</w:t>
      </w:r>
    </w:p>
    <w:p>
      <w:r>
        <w:t xml:space="preserve">(4) Die Einsichtnahme ist nur nach vorheriger Online-Registrierung des Nutzers möglich und kann zum Zweck der Kontrolle, wer Einsicht genommen hat, protokolliert werden. Die registerführende Stelle ist nicht befugt, gegenüber Vereinigungen nach § 20 und Rechtsgestaltungen nach § 21 offenzulegen, wer Einsicht in die Angaben genommen hat, die die Vereinigungen und Rechtsgestaltungen zu ihren wirtschaftlich Berechtigten gemacht haben.</w:t>
      </w:r>
    </w:p>
    <w:p>
      <w:r>
        <w:t xml:space="preserve">(5) Das Transparenzregister erlaubt die Suche nach Vereinigungen nach § 20 Absatz 1 Satz 1 und Rechtsgestaltungen nach § 21 über alle eingestellten Daten sowie über sämtliche Indexdaten.</w:t>
      </w:r>
    </w:p>
    <w:p>
      <w:r>
        <w:t xml:space="preserve">(6) Die Einsichtnahme und Übermittlung der Daten aus dem Transparenzregister nach Absatz 1 Nummer 1 an einsichtnehmende Behörden, Gerichte und in § 2 Absatz 4 genannte Stellen erfolgt ausschließlich zum Zweck der Erfüllung der jeweiligen gesetzlichen Aufgabe. Die Einsichtnahme und Übermittlung der Daten aus dem Transparenzregister an einsichtnehmende Verpflichtete erfolgt ausschließlich zur Erfüllung der Sorgfaltspflichten des jeweiligen Verpflichteten.</w:t>
      </w:r>
    </w:p>
    <w:p>
      <w:r>
        <w:t xml:space="preserve">(7) Das Bundesministerium der Finanzen wird ermächtigt, durch Rechtsverordnung, die nicht der Zustimmung des Bundesrates bedarf, die Einzelheiten der Einsichtnahme, Datenübermittlung und Beschränkung, insbesondere der Online-Registrierung und der Protokollierung wie die zu protokollierenden Daten und die Löschungsfrist für die protokollierten Daten nach Absatz 3, der Darlegungsanforderungen für die Einsichtnahme und Übermittlung nach Absatz 1 Satz 1 Nummer 2 und 3 und der Darlegungsanforderungen für die Beschränkung der Einsichtnahme und Übermittlung nach Absatz 2 zu bestimmen.</w:t>
      </w:r>
    </w:p>
    <w:p>
      <w:r>
        <w:t xml:space="preserve">(8) Auf Antrag ist dem wirtschaftlich Berechtigten durch die registerführende Stelle Auskunft über die nach § 23 Absatz 1 Satz 1 Nummer 3 erfolgten Einsichtnahmen zu erteilen. Der wirtschaftlich Berechtigte hat bei Antragstellung die Vereinigung nach § 20 oder die Rechtsgestaltung nach § 21 anzugeben, für die eine Auskunft beantragt wird. Die Auskunft beinhaltet folgende Informationen:</w:t>
      </w:r>
    </w:p>
    <w:p>
      <w:pPr>
        <w:ind w:left="420"/>
      </w:pPr>
      <w:r>
        <w:t xml:space="preserve">1. die beauskunfteten personenbezogenen Daten des wirtschaftlich Berechtigten,</w:t>
      </w:r>
    </w:p>
    <w:p>
      <w:pPr>
        <w:ind w:left="420"/>
      </w:pPr>
      <w:r>
        <w:t xml:space="preserve">2. die monatsweise dargestellte Anzahl der seit der letzten Antragstellung erfolgten Einsichtnahmen,</w:t>
      </w:r>
    </w:p>
    <w:p>
      <w:pPr>
        <w:ind w:left="420"/>
      </w:pPr>
      <w:r>
        <w:t xml:space="preserve">3. der Zeitpunkt der jeweiligen Einsichtnahmen,</w:t>
      </w:r>
    </w:p>
    <w:p>
      <w:pPr>
        <w:ind w:left="420"/>
      </w:pPr>
      <w:r>
        <w:t xml:space="preserve">4. eine anonymisierte Auflistung der natürlichen Personen, die Einsicht genommen haben und</w:t>
      </w:r>
    </w:p>
    <w:p>
      <w:pPr>
        <w:ind w:left="420"/>
      </w:pPr>
      <w:r>
        <w:t xml:space="preserve">5. bei Einsichtnahme durch juristische Personen deren Bezeichnung.</w:t>
      </w:r>
    </w:p>
    <w:p>
      <w:r>
        <w:t xml:space="preserve">Die beantragte Auskunft ist mindestens einmal im Kalenderjahr, höchstens jedoch einmal im Quartal zu erteilen. Der wirtschaftlich Berechtigte belegt im Rahmen der Antragstellung nach Satz 1 seine Identität und seine Stellung als wirtschaftlich Berechtigter der im Antrag in Bezug genommenen Vereinigung nach § 20 oder Rechtsgestaltung nach § 21 anhand geeigneter Nachweise. Geeignete Nachweise sind solche nach § 12. Die Antragstellung und Auskunftserteilung nach diesem Absatz ist ausschließlich über die Internetseite des Transparenzregisters nach den Vorgaben der registerführenden Stelle möglich.</w:t>
      </w:r>
    </w:p>
    <w:p>
      <w:r>
        <w:rPr>
          <w:color w:val="555555"/>
          <w:sz w:val="17"/>
        </w:rPr>
        <w:t xml:space="preserve">Zitiervorschlag: § 23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