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GwG 2017 — Zugängliche Dokumente und Datenübermittlung an das Transparenzregister, Verordnungsermächtigung</w:t>
      </w:r>
    </w:p>
    <w:p>
      <w:r>
        <w:rPr>
          <w:color w:val="555555"/>
          <w:sz w:val="18"/>
        </w:rPr>
        <w:t xml:space="preserve">Geldwäschegesetz</w:t>
      </w:r>
    </w:p>
    <w:p>
      <w:r>
        <w:rPr>
          <w:color w:val="555555"/>
          <w:sz w:val="18"/>
        </w:rPr>
        <w:t xml:space="preserve">Stand: 26.01.2023 (konsolidierte Textfassung, kein amtliches Inkrafttretensdatum)</w:t>
      </w:r>
    </w:p>
    <w:p>
      <w:r>
        <w:t xml:space="preserve">(1) Über die Internetseite des Transparenzregisters sind nach Maßgabe des § 23 zugänglich:</w:t>
      </w:r>
    </w:p>
    <w:p>
      <w:pPr>
        <w:ind w:left="420"/>
      </w:pPr>
      <w:r>
        <w:t xml:space="preserve">1. Eintragungen im Transparenzregister zu Meldungen nach § 20 Absatz 1 Satz 1 und nach § 21 sowie Immobilien nach § 19a,</w:t>
      </w:r>
    </w:p>
    <w:p>
      <w:pPr>
        <w:ind w:left="420"/>
      </w:pPr>
      <w:r>
        <w:t xml:space="preserve">2. Bekanntmachungen des Bestehens einer Beteiligung nach § 20 Absatz 6 des Aktiengesetzes,</w:t>
      </w:r>
    </w:p>
    <w:p>
      <w:pPr>
        <w:ind w:left="420"/>
      </w:pPr>
      <w:r>
        <w:t xml:space="preserve">3. Stimmrechtsmitteilungen nach den §§ 40 und 41 des Wertpapierhandelsgesetzes,</w:t>
      </w:r>
    </w:p>
    <w:p>
      <w:pPr>
        <w:ind w:left="420"/>
      </w:pPr>
      <w:r>
        <w:t xml:space="preserve">4. Listen der Gesellschafter von Gesellschaften mit beschränkter Haftung und Unternehmergesellschaften nach § 8 Absatz 1 Nummer 3, § 40 des Gesetzes betreffend die Gesellschaften mit beschränkter Haftung sowie Gesellschafterverträge gemäß § 8 Absatz 1 Nummer 1 in Verbindung mit § 2 Absatz 1a Satz 2 des Gesetzes betreffend die Gesellschaften mit beschränkter Haftung, sofern diese als Gesellschafterliste gelten, nach § 2 Absatz 1a Satz 4 des Gesetzes betreffend die Gesellschaften mit beschränkter Haftung,</w:t>
      </w:r>
    </w:p>
    <w:p>
      <w:pPr>
        <w:ind w:left="420"/>
      </w:pPr>
      <w:r>
        <w:t xml:space="preserve">5. Eintragungen im Handelsregister,</w:t>
      </w:r>
    </w:p>
    <w:p>
      <w:pPr>
        <w:ind w:left="420"/>
      </w:pPr>
      <w:r>
        <w:t xml:space="preserve">6. Eintragungen im Partnerschaftsregister,</w:t>
      </w:r>
    </w:p>
    <w:p>
      <w:pPr>
        <w:ind w:left="420"/>
      </w:pPr>
      <w:r>
        <w:t xml:space="preserve">7. Eintragungen im Genossenschaftsregister,</w:t>
      </w:r>
    </w:p>
    <w:p>
      <w:pPr>
        <w:ind w:left="420"/>
      </w:pPr>
      <w:r>
        <w:t xml:space="preserve">8. Eintragungen im Vereinsregister,</w:t>
      </w:r>
    </w:p>
    <w:p>
      <w:pPr>
        <w:ind w:left="420"/>
      </w:pPr>
      <w:r>
        <w:t xml:space="preserve">9. Eintragungen in das Gesellschaftsregister.</w:t>
      </w:r>
    </w:p>
    <w:p>
      <w:r>
        <w:t xml:space="preserve">Zugänglich in dem nach den besonderen registerrechtlichen Vorschriften für die Einsicht geregelten Umfang sind nur solche Dokumente und Eintragungen nach Satz 1 Nummer 2 bis 9, die aus dem Handelsregister, Genossenschaftsregister, Partnerschaftsregister, Unternehmensregister oder Vereinsregister elektronisch abrufbar sind.</w:t>
      </w:r>
    </w:p>
    <w:p>
      <w:r>
        <w:t xml:space="preserve">(2) Um die Eröffnung des Zugangs zu den Originaldaten nach Absatz 1 Satz 1 Nummer 2 bis 9 über die Internetseite des Transparenzregisters zu ermöglichen, sind dem Transparenzregister die dafür erforderlichen Daten (Indexdaten) zu übermitteln. Der Betreiber des Unternehmensregisters übermittelt die Indexdaten zu den Originaldaten nach Absatz 1 Satz 1 Nummer 2 und 3 dem Transparenzregister. Die Landesjustizverwaltungen übermitteln die Indexdaten zu den Originaldaten nach Absatz 1 Satz 1 Nummer 4 bis 8 dem Transparenzregister. Die Indexdaten dienen nur der Zugangsvermittlung und dürfen nicht zugänglich gemacht werden.</w:t>
      </w:r>
    </w:p>
    <w:p>
      <w:r>
        <w:t xml:space="preserve">(3) Das Bundesministerium der Finanzen wird ermächtigt, im Benehmen mit dem Bundesministerium der Justiz und für Verbraucherschutz für die Datenübermittlung nach Absatz 2 Satz 3 durch Rechtsverordnung, die der Zustimmung des Bundesrates bedarf, technische Einzelheiten der Datenübermittlung zwischen den Behörden der Länder und dem Transparenzregister einschließlich der Vorgaben für die zu verwendenden Datenformate und zur Sicherstellung von Datenschutz und Datensicherheit zu regeln. Abweichungen von den Verfahrensregelungen durch Landesrecht sind ausgeschlossen.</w:t>
      </w:r>
    </w:p>
    <w:p>
      <w:r>
        <w:t xml:space="preserve">(4) Das Bundesministerium der Finanzen wird ermächtigt, im Benehmen mit dem Bundesministerium der Justiz und für Verbraucherschutz durch Rechtsverordnung, die nicht der Zustimmung des Bundesrates bedarf, Registrierungsverfahren für die Mitteilungsverpflichteten nach den §§ 20 und 21 sowie technische Einzelheiten der Datenübermittlung nach Absatz 2 Satz 2 sowie nach den §§ 20 und 21 einschließlich der Vorgaben für die zu verwendenden Datenformate und Formulare sowie zur Sicherstellung von Datenschutz und Datensicherheit zu regeln.</w:t>
      </w:r>
    </w:p>
    <w:p>
      <w:r>
        <w:rPr>
          <w:color w:val="555555"/>
          <w:sz w:val="17"/>
        </w:rPr>
        <w:t xml:space="preserve">Zitiervorschlag: § 22 GwG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https://recht.nulegal.eu/gesetze/GwG%202017/22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