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20a GwG 2017 — Automatische Eintragung für Vereine</w:t>
      </w:r>
    </w:p>
    <w:p>
      <w:r>
        <w:rPr>
          <w:color w:val="555555"/>
          <w:sz w:val="18"/>
        </w:rPr>
        <w:t xml:space="preserve">Geldwäschegesetz</w:t>
      </w:r>
    </w:p>
    <w:p>
      <w:r>
        <w:rPr>
          <w:color w:val="555555"/>
          <w:sz w:val="18"/>
        </w:rPr>
        <w:t xml:space="preserve">Stand: 03.09.2021 (konsolidierte Textfassung, kein amtliches Inkrafttretensdatum)</w:t>
      </w:r>
    </w:p>
    <w:p>
      <w:r>
        <w:t xml:space="preserve">(1) Für eingetragene Vereine nach § 21 des Bürgerlichen Gesetzbuchs erstellt die registerführende Stelle anhand der im Vereinsregister eingetragenen Daten eine Eintragung in das Transparenzregister, ohne dass es hierfür einer Mitteilung nach § 20 Absatz 1 Satz 1 bedarf. Im Rahmen dieser Eintragung werden alle Mitglieder des Vorstands eines Vereins mit den Daten nach § 19 Absatz 1 als wirtschaftliche Berechtigte nach § 3 Absatz 2 Satz 5 im Transparenzregister erfasst. Soweit diese Daten nicht im Vereinsregister vorhanden sind, wird als Wohnsitzland Deutschland und als einzige Staatsangehörigkeit die deutsche Staatsangehörigkeit angenommen. Die nach Satz 1 eingetragenen Daten gelten als Angaben des Vereins, soweit der Verein der registerführenden Stelle keine abweichenden Angaben mitgeteilt hat.</w:t>
      </w:r>
    </w:p>
    <w:p>
      <w:r>
        <w:t xml:space="preserve">(2) Abweichend von § 20 Absatz 1 Satz 1 muss ein eingetragener Verein nach § 21 des Bürgerlichen Gesetzbuchs die in § 19 Absatz 1 aufgeführten Angaben zu den wirtschaftlich Berechtigten der registerführenden Stelle nur dann zur Eintragung mitteilen, wenn</w:t>
      </w:r>
    </w:p>
    <w:p>
      <w:pPr>
        <w:ind w:left="420"/>
      </w:pPr>
      <w:r>
        <w:t xml:space="preserve">1. eine Änderung des Vorstands nicht unverzüglich zur Eintragung in das Vereinsregister angemeldet worden ist,</w:t>
      </w:r>
    </w:p>
    <w:p>
      <w:pPr>
        <w:ind w:left="420"/>
      </w:pPr>
      <w:r>
        <w:t xml:space="preserve">2. mindestens ein wirtschaftlich Berechtigter nach § 3 Absatz 2 Satz 1 bis 4 vorhanden ist oder</w:t>
      </w:r>
    </w:p>
    <w:p>
      <w:pPr>
        <w:ind w:left="420"/>
      </w:pPr>
      <w:r>
        <w:t xml:space="preserve">3. die Annahmen nach Absatz 1 Satz 3 nicht zutreffen.</w:t>
      </w:r>
    </w:p>
    <w:p>
      <w:r>
        <w:t xml:space="preserve">Eine Eintragung durch die registerführende Stelle nach Absatz 1 wird nicht vorgenommen, wenn der Verein der registerführenden Stelle Angaben nach § 19 Absatz 1 zur Eintragung in das Transparenzregister mitgeteilt hat. Dies gilt nicht, wenn der Verein der registerführenden Stelle mitgeteilt hat, dass die mitgeteilten Angaben nach § 19 Absatz 1 nicht mehr gelten sollen. Die Mitteilung nach Satz 3 hat elektronisch über die Webseite des Transparenzregisters zu erfolgen.</w:t>
      </w:r>
    </w:p>
    <w:p>
      <w:r>
        <w:t xml:space="preserve">(3) Eine Eintragung nach Absatz 1 erfolgt erstmals spätestens zum 1. Januar 2023. Danach erfolgt die automatische Eintragung anlassbezogen.</w:t>
      </w:r>
    </w:p>
    <w:p>
      <w:r>
        <w:t xml:space="preserve">(4) Bei Eintragung nach Absatz 1 handelt die registerführende Stelle nach § 18 Absatz 2 im Rahmen der hoheitlichen Aufgaben des Bundes. Zu diesem Zweck ist die registerführende Stelle beim Abruf von Daten aus den Vereinsregistern von der Zahlung der Gebühren nach § 2 Absatz 1 des Justizverwaltungskostengesetzes befreit.</w:t>
      </w:r>
    </w:p>
    <w:p>
      <w:r>
        <w:rPr>
          <w:color w:val="555555"/>
          <w:sz w:val="17"/>
        </w:rPr>
        <w:t xml:space="preserve">Zitiervorschlag: § 20a GwG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https://recht.nulegal.eu/gesetze/GwG%202017/20a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