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GwG 2017 — Verpflichtete, Verordnungsermächtigung</w:t>
      </w:r>
    </w:p>
    <w:p>
      <w:r>
        <w:rPr>
          <w:color w:val="555555"/>
          <w:sz w:val="18"/>
        </w:rPr>
        <w:t xml:space="preserve">Geldwäschegesetz</w:t>
      </w:r>
    </w:p>
    <w:p>
      <w:r>
        <w:rPr>
          <w:color w:val="555555"/>
          <w:sz w:val="18"/>
        </w:rPr>
        <w:t xml:space="preserve">Stand: 01.09.2026 (konsolidierte Textfassung, kein amtliches Inkrafttretensdatum)</w:t>
      </w:r>
    </w:p>
    <w:p>
      <w:r>
        <w:t xml:space="preserve">(1) Verpflichtete im Sinne dieses Gesetzes sind, soweit sie in Ausübung ihres Gewerbes oder Berufs handeln,</w:t>
      </w:r>
    </w:p>
    <w:p>
      <w:pPr>
        <w:ind w:left="420"/>
      </w:pPr>
      <w:r>
        <w:t xml:space="preserve">1. Kreditinstitute nach § 1 Absatz 1 des Kreditwesengesetzes, mit Ausnahme der in § 2 Absatz 1 Nummer 3 bis 8 des Kreditwesengesetzes genannten Unternehmen, und im Inland gelegene Zweigstellen und Zweigniederlassungen von Kreditinstituten mit Sitz im Ausland,</w:t>
      </w:r>
    </w:p>
    <w:p>
      <w:pPr>
        <w:ind w:left="420"/>
      </w:pPr>
      <w:r>
        <w:t xml:space="preserve">2. Finanzdienstleistungsinstitute nach § 1 Absatz 1a des Kreditwesengesetzes, mit Ausnahme der in § 2 Absatz 6 Satz 1 Nummer 3 bis 10 und 12 und Absatz 10 des Kreditwesengesetzes genannten Unternehmen, im Inland gelegene Zweigstellen und Zweigniederlassungen von Finanzdienstleistungsinstituten mit Sitz im Ausland, Wertpapierinstitute nach § 2 Absatz 1 des Wertpapierinstitutsgesetzes und im Inland gelegene Niederlassungen vergleichbarer Unternehmen mit Sitz im Ausland sowie Anbieter von Kryptowerte-Dienstleistungen und Emittenten vermögenswertreferenzierter Token,</w:t>
      </w:r>
    </w:p>
    <w:p>
      <w:pPr>
        <w:ind w:left="420"/>
      </w:pPr>
      <w:r>
        <w:t xml:space="preserve">3. Zahlungsinstitute und E-Geld-Institute nach § 1 Absatz 3 des Zahlungsdiensteaufsichtsgesetzes und im Inland gelegene Zweigstellen und Zweigniederlassungen von vergleichbaren Instituten mit Sitz im Ausland,</w:t>
      </w:r>
    </w:p>
    <w:p>
      <w:pPr>
        <w:ind w:left="420"/>
      </w:pPr>
      <w:r>
        <w:t xml:space="preserve">4. Agenten nach § 1 Absatz 9 des Zahlungsdiensteaufsichtsgesetzes und E-Geld-Agenten nach § 1 Absatz 10 des Zahlungsdiensteaufsichtsgesetzes sowie diejenigen Zahlungsinstitute und E-Geld-Institute mit Sitz in einem anderen Vertragsstaat des Abkommens über den Europäischen Wirtschaftsraum, die im Inland über Agenten nach § 1 Absatz 9 des Zahlungsdiensteaufsichtsgesetzes oder über E-Geld-Agenten nach § 1 Absatz 10 des Zahlungsdiensteaufsichtsgesetzes niedergelassen sind,</w:t>
      </w:r>
    </w:p>
    <w:p>
      <w:pPr>
        <w:ind w:left="420"/>
      </w:pPr>
      <w:r>
        <w:t xml:space="preserve">5. selbständige Gewerbetreibende, die E-Geld eines Kreditinstituts nach § 1 Absatz 2 Satz 1 Nummer 2 des Zahlungsdiensteaufsichtsgesetzes vertreiben oder rücktauschen,</w:t>
      </w:r>
    </w:p>
    <w:p>
      <w:pPr>
        <w:ind w:left="420"/>
      </w:pPr>
      <w:r>
        <w:t xml:space="preserve">6. Finanzunternehmen sowie im Inland gelegene Zweigstellen und Zweigniederlassungen von Finanzunternehmen mit Sitz im Ausland, soweit sie nicht bereits von den Nummern 1 bis 5, 7, 9, 10, 12 oder 13 erfasst sind,</w:t>
      </w:r>
    </w:p>
    <w:p>
      <w:pPr>
        <w:ind w:left="420"/>
      </w:pPr>
      <w:r>
        <w:t xml:space="preserve">7. Versicherungsunternehmen nach Artikel 13 Nummer 1 der Richtlinie 2009/138/EG des Europäischen Parlaments und des Rates vom 25. November 2009 betreffend die Aufnahme und Ausübung der Versicherungs- und der Rückversicherungstätigkeit (Solvabilität II) (ABl. L 335 vom 17.12.2009, S. 1) und im Inland gelegene Niederlassungen solcher Unternehmen mit Sitz im Ausland, soweit sie jeweils</w:t>
      </w:r>
    </w:p>
    <w:p>
      <w:pPr>
        <w:ind w:left="780"/>
      </w:pPr>
      <w:r>
        <w:t xml:space="preserve">a) Lebensversicherungstätigkeiten, die unter diese Richtlinie fallen, anbieten,</w:t>
      </w:r>
    </w:p>
    <w:p>
      <w:pPr>
        <w:ind w:left="780"/>
      </w:pPr>
      <w:r>
        <w:t xml:space="preserve">b) Unfallversicherungen mit Prämienrückgewähr anbieten,</w:t>
      </w:r>
    </w:p>
    <w:p>
      <w:pPr>
        <w:ind w:left="780"/>
      </w:pPr>
      <w:r>
        <w:t xml:space="preserve">c) Darlehen im Sinne von § 1 Absatz 1 Satz 2 Nummer 2 des Kreditwesengesetzes vergeben oder</w:t>
      </w:r>
    </w:p>
    <w:p>
      <w:pPr>
        <w:ind w:left="780"/>
      </w:pPr>
      <w:r>
        <w:t xml:space="preserve">d) Kapitalisierungsprodukte anbieten,</w:t>
      </w:r>
    </w:p>
    <w:p>
      <w:pPr>
        <w:ind w:left="420"/>
      </w:pPr>
      <w:r>
        <w:t xml:space="preserve">8. Versicherungsvermittler nach § 59 des Versicherungsvertragsgesetzes, soweit sie die unter Nummer 7 fallenden Tätigkeiten, Geschäfte, Produkte oder Dienstleistungen vermitteln, mit Ausnahme der gemäß § 34d Absatz 6 oder 7 Nummer 1 der Gewerbeordnung tätigen Versicherungsvermittler, und im Inland gelegene Niederlassungen entsprechender Versicherungsvermittler mit Sitz im Ausland,</w:t>
      </w:r>
    </w:p>
    <w:p>
      <w:pPr>
        <w:ind w:left="420"/>
      </w:pPr>
      <w:r>
        <w:t xml:space="preserve">9. Kapitalverwaltungsgesellschaften nach § 17 Absatz 1 des Kapitalanlagegesetzbuchs, im Inland gelegene Zweigniederlassungen von EU-Verwaltungsgesellschaften und ausländischen AIF-Verwaltungsgesellschaften sowie ausländische AIF-Verwaltungsgesellschaften, für die die Bundesrepublik Deutschland Referenzmitgliedstaat ist und die der Aufsicht der Bundesanstalt für Finanzdienstleistungsaufsicht gemäß § 57 Absatz 1 Satz 3 des Kapitalanlagegesetzbuchs unterliegen,</w:t>
      </w:r>
    </w:p>
    <w:p>
      <w:pPr>
        <w:ind w:left="420"/>
      </w:pPr>
      <w:r>
        <w:t xml:space="preserve">10. Rechtsanwälte, Kammerrechtsbeistände, Patentanwälte sowie Notare, soweit sie</w:t>
      </w:r>
    </w:p>
    <w:p>
      <w:pPr>
        <w:ind w:left="780"/>
      </w:pPr>
      <w:r>
        <w:t xml:space="preserve">a) für den Mandanten an der Planung oder Durchführung von folgenden Geschäften mitwirken:</w:t>
      </w:r>
    </w:p>
    <w:p>
      <w:pPr>
        <w:ind w:left="1140"/>
      </w:pPr>
      <w:r>
        <w:t xml:space="preserve">aa) Kauf und Verkauf von Immobilien oder Gewerbebetrieben,</w:t>
      </w:r>
    </w:p>
    <w:p>
      <w:pPr>
        <w:ind w:left="1140"/>
      </w:pPr>
      <w:r>
        <w:t xml:space="preserve">bb) Verwaltung von Geld, Wertpapieren oder sonstigen Vermögenswerten,</w:t>
      </w:r>
    </w:p>
    <w:p>
      <w:pPr>
        <w:ind w:left="1140"/>
      </w:pPr>
      <w:r>
        <w:t xml:space="preserve">cc) Eröffnung oder Verwaltung von Bank-, Spar- oder Wertpapierkonten,</w:t>
      </w:r>
    </w:p>
    <w:p>
      <w:pPr>
        <w:ind w:left="1140"/>
      </w:pPr>
      <w:r>
        <w:t xml:space="preserve">dd) Beschaffung der zur Gründung, zum Betrieb oder zur Verwaltung von Gesellschaften erforderlichen Mittel,</w:t>
      </w:r>
    </w:p>
    <w:p>
      <w:pPr>
        <w:ind w:left="1140"/>
      </w:pPr>
      <w:r>
        <w:t xml:space="preserve">ee) Gründung, Betrieb oder Verwaltung von Treuhandgesellschaften, Gesellschaften oder ähnlichen Strukturen,</w:t>
      </w:r>
    </w:p>
    <w:p>
      <w:pPr>
        <w:ind w:left="780"/>
      </w:pPr>
      <w:r>
        <w:t xml:space="preserve">b) im Namen und auf Rechnung des Mandanten Finanz- oder Immobilientransaktionen durchführen,</w:t>
      </w:r>
    </w:p>
    <w:p>
      <w:pPr>
        <w:ind w:left="780"/>
      </w:pPr>
      <w:r>
        <w:t xml:space="preserve">c) den Mandanten im Hinblick auf dessen Kapitalstruktur, dessen industrielle Strategie oder damit verbundene Fragen beraten,</w:t>
      </w:r>
    </w:p>
    <w:p>
      <w:pPr>
        <w:ind w:left="780"/>
      </w:pPr>
      <w:r>
        <w:t xml:space="preserve">d) Beratung oder Dienstleistungen im Zusammenhang mit Zusammenschlüssen oder Übernahmen erbringen oder</w:t>
      </w:r>
    </w:p>
    <w:p>
      <w:pPr>
        <w:ind w:left="780"/>
      </w:pPr>
      <w:r>
        <w:t xml:space="preserve">e) geschäftsmäßig Hilfeleistung in Steuersachen erbringen,</w:t>
      </w:r>
    </w:p>
    <w:p>
      <w:pPr>
        <w:ind w:left="420"/>
      </w:pPr>
      <w:r>
        <w:t xml:space="preserve">11. Rechtsbeistände, die nicht Mitglied einer Rechtsanwaltskammer sind, und registrierte Personen nach § 10 des Rechtsdienstleistungsgesetzes, soweit sie Tätigkeiten nach Nummer 10 Buchstabe a bis d erbringen, ausgenommen die Erbringung von Inkassodienstleistungen im Sinne des § 2 Absatz 2 Satz 1 des Rechtsdienstleistungsgesetzes,</w:t>
      </w:r>
    </w:p>
    <w:p>
      <w:pPr>
        <w:ind w:left="420"/>
      </w:pPr>
      <w:r>
        <w:t xml:space="preserve">12. Wirtschaftsprüfer, vereidigte Buchprüfer, Steuerberater, Steuerbevollmächtigte und Lohnsteuerhilfevereine,</w:t>
      </w:r>
    </w:p>
    <w:p>
      <w:pPr>
        <w:ind w:left="420"/>
      </w:pPr>
      <w:r>
        <w:t xml:space="preserve">13. Dienstleister für Gesellschaften und für Treuhandvermögen oder Treuhänder, die nicht den unter den Nummern 10 bis 12 genannten Berufen angehören, wenn sie für Dritte eine der folgenden Dienstleistungen erbringen:</w:t>
      </w:r>
    </w:p>
    <w:p>
      <w:pPr>
        <w:ind w:left="780"/>
      </w:pPr>
      <w:r>
        <w:t xml:space="preserve">a) Gründung einer juristischen Person oder Personengesellschaft,</w:t>
      </w:r>
    </w:p>
    <w:p>
      <w:pPr>
        <w:ind w:left="780"/>
      </w:pPr>
      <w:r>
        <w:t xml:space="preserve">b) Ausübung der Leitungs- oder Geschäftsführungsfunktion einer juristischen Person oder einer Personengesellschaft, Ausübung der Funktion eines Gesellschafters einer Personengesellschaft oder Ausübung einer vergleichbaren Funktion,</w:t>
      </w:r>
    </w:p>
    <w:p>
      <w:pPr>
        <w:ind w:left="780"/>
      </w:pPr>
      <w:r>
        <w:t xml:space="preserve">c) Bereitstellung eines Sitzes, einer Geschäfts-, Verwaltungs- oder Postadresse und anderer damit zusammenhängender Dienstleistungen für eine juristische Person, für eine Personengesellschaft oder für eine Rechtsgestaltung nach § 3 Absatz 3,</w:t>
      </w:r>
    </w:p>
    <w:p>
      <w:pPr>
        <w:ind w:left="780"/>
      </w:pPr>
      <w:r>
        <w:t xml:space="preserve">d) Ausübung der Funktion eines Treuhänders für eine Rechtsgestaltung nach § 3 Absatz 3,</w:t>
      </w:r>
    </w:p>
    <w:p>
      <w:pPr>
        <w:ind w:left="780"/>
      </w:pPr>
      <w:r>
        <w:t xml:space="preserve">e) Ausübung der Funktion eines nominellen Anteilseigners für eine andere Person, bei der es sich nicht um eine auf einem organisierten Markt notierte Gesellschaft nach § 2 Absatz 11 des Wertpapierhandelsgesetzes handelt, die dem Gemeinschaftsrecht entsprechenden Transparenzanforderungen im Hinblick auf Stimmrechtsanteile oder gleichwertigen internationalen Standards unterliegt,</w:t>
      </w:r>
    </w:p>
    <w:p>
      <w:pPr>
        <w:ind w:left="780"/>
      </w:pPr>
      <w:r>
        <w:t xml:space="preserve">f) Schaffung der Möglichkeit für eine andere Person, die in den Buchstaben b, d und e genannten Funktionen auszuüben,</w:t>
      </w:r>
    </w:p>
    <w:p>
      <w:pPr>
        <w:ind w:left="420"/>
      </w:pPr>
      <w:r>
        <w:t xml:space="preserve">14. Immobilienmakler,</w:t>
      </w:r>
    </w:p>
    <w:p>
      <w:pPr>
        <w:ind w:left="420"/>
      </w:pPr>
      <w:r>
        <w:t xml:space="preserve">15. Veranstalter und Vermittler von Glücksspielen, soweit es sich nicht handelt um</w:t>
      </w:r>
    </w:p>
    <w:p>
      <w:pPr>
        <w:ind w:left="780"/>
      </w:pPr>
      <w:r>
        <w:t xml:space="preserve">a) Betreiber von Geldspielgeräten nach § 33c der Gewerbeordnung,</w:t>
      </w:r>
    </w:p>
    <w:p>
      <w:pPr>
        <w:ind w:left="780"/>
      </w:pPr>
      <w:r>
        <w:t xml:space="preserve">b) Vereine, die das Unternehmen eines Totalisatoren nach § 1 des Rennwett- und Lotteriegesetzes betreiben,</w:t>
      </w:r>
    </w:p>
    <w:p>
      <w:pPr>
        <w:ind w:left="780"/>
      </w:pPr>
      <w:r>
        <w:t xml:space="preserve">c) Lotterien, für die die Veranstalter und Vermittler über eine glücksspielrechtliche Erlaubnis der in Deutschland jeweils zuständigen Behörde verfügen, und</w:t>
      </w:r>
    </w:p>
    <w:p>
      <w:pPr>
        <w:ind w:left="780"/>
      </w:pPr>
      <w:r>
        <w:t xml:space="preserve">d) (weggefallen)</w:t>
      </w:r>
    </w:p>
    <w:p>
      <w:pPr>
        <w:ind w:left="420"/>
      </w:pPr>
      <w:r>
        <w:t xml:space="preserve">16. Güterhändler, Kunstvermittler und Kunstlagerhalter, soweit die Lagerhaltung in Zollfreigebieten erfolgt.</w:t>
      </w:r>
    </w:p>
    <w:p>
      <w:r>
        <w:t xml:space="preserve">(2) Das Bundesministerium der Finanzen kann durch Rechtsverordnung ohne Zustimmung des Bundesrates Verpflichtete gemäß Absatz 1 Nummer 1 bis 9 und 16, die Finanztätigkeiten, die keinen Finanztransfer im Sinne von § 1 Absatz 1 Satz 2 Nummer 6 des Zahlungsdiensteaufsichtsgesetzes darstellen, nur gelegentlich oder in sehr begrenztem Umfang ausüben und bei denen ein geringes Risiko der Geldwäsche oder der Terrorismusfinanzierung besteht, vom Anwendungsbereich dieses Gesetzes ausnehmen, wenn</w:t>
      </w:r>
    </w:p>
    <w:p>
      <w:pPr>
        <w:ind w:left="420"/>
      </w:pPr>
      <w:r>
        <w:t xml:space="preserve">1. die Finanztätigkeit auf einzelne Transaktionen beschränkt ist, die in absoluter Hinsicht je Kunde und einzelne Transaktion den Betrag von 1 000 Euro nicht überschreitet,</w:t>
      </w:r>
    </w:p>
    <w:p>
      <w:pPr>
        <w:ind w:left="420"/>
      </w:pPr>
      <w:r>
        <w:t xml:space="preserve">2. der Umsatz der Finanztätigkeit insgesamt nicht über 5 Prozent des jährlichen Gesamtumsatzes der betroffenen Verpflichteten hinausgeht,</w:t>
      </w:r>
    </w:p>
    <w:p>
      <w:pPr>
        <w:ind w:left="420"/>
      </w:pPr>
      <w:r>
        <w:t xml:space="preserve">3. die Finanztätigkeit lediglich eine mit der ausgeübten Haupttätigkeit zusammenhängende Nebentätigkeit darstellt und</w:t>
      </w:r>
    </w:p>
    <w:p>
      <w:pPr>
        <w:ind w:left="420"/>
      </w:pPr>
      <w:r>
        <w:t xml:space="preserve">4. die Finanztätigkeit nur für Kunden der Haupttätigkeit und nicht für die allgemeine Öffentlichkeit erbracht wird.</w:t>
      </w:r>
    </w:p>
    <w:p>
      <w:r>
        <w:t xml:space="preserve">In diesem Fall hat es die Europäische Kommission zeitnah zu unterrichten.</w:t>
      </w:r>
    </w:p>
    <w:p>
      <w:r>
        <w:t xml:space="preserve">(3) Für Gerichte, die öffentliche Versteigerungen durchführen, gelten im Rahmen der Zwangsversteigerung von Grundstücken, von im Schiffsregister eingetragenen Schiffen, von Schiffsbauwerken, die im Schiffsbauregister eingetragen sind oder in dieses Register eingetragen werden können, und Luftfahrzeugen im Wege der Zwangsvollstreckung die in den Abschnitten 3, 5 und 6 genannten Identifizierungs- und Meldepflichten sowie die Pflicht zur Zusammenarbeit mit der Zentralstelle für Finanztransaktionsuntersuchungen entsprechend, soweit Transaktionen mit Barzahlungen über mindestens 10 000 Euro getätigt werden. Die Identifizierung des Erstehers soll unmittelbar nach Erteilung des Zuschlags erfolgen, spätestens jedoch bei Einzahlung des Bargebots; dabei ist bei natürlichen Personen die Erhebung des Geburtsorts und der Staatsangehörigkeit sowie bei rechtsfähigen Personengesellschaften und juristischen Personen die Erhebung der Namen sämtlicher Mitglieder des Vertretungsorgans oder sämtlicher gesetzlicher Vertreter nicht erforderlich.</w:t>
      </w:r>
    </w:p>
    <w:p>
      <w:r>
        <w:t xml:space="preserve">(4) Für Behörden sowie Körperschaften und Anstalten des öffentlichen Rechts, die öffentliche Versteigerungen durchführen, gelten die in den Abschnitten 3, 5 und 6 genannten Identifizierungs- und Meldepflichten sowie die Pflicht zur Zusammenarbeit mit der Zentralstelle für Finanztransaktionsuntersuchungen entsprechend, soweit Transaktionen mit Barzahlungen über mindestens 10 000 Euro getätigt werden. Satz 1 gilt nicht, soweit im Rahmen der Zwangsvollstreckung gepfändete Gegenstände verwertet werden. Die Identifizierung des Erstehers soll bei Zuschlag erfolgen, spätestens jedoch bei Einzahlung des Bargebots. Nach Satz 1 verpflichtete Behörden sowie Körperschaften und Anstalten des öffentlichen Rechts können bei der Erfüllung ihrer Pflichten nach Satz 1 auf Dritte zurückgreifen.</w:t>
      </w:r>
    </w:p>
    <w:p>
      <w:r>
        <w:rPr>
          <w:color w:val="555555"/>
          <w:sz w:val="17"/>
        </w:rPr>
        <w:t xml:space="preserve">Zitiervorschlag: § 2 GwG 2017</w:t>
      </w:r>
    </w:p>
    <w:p>
      <w:r>
        <w:rPr>
          <w:color w:val="555555"/>
          <w:sz w:val="17"/>
        </w:rPr>
        <w:t xml:space="preserve">Quelle: Bundesamt für Justiz, abgerufen 01.09.2026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