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GwG 2017 — Angaben zum wirtschaftlich Berechtigten</w:t>
      </w:r>
    </w:p>
    <w:p>
      <w:r>
        <w:rPr>
          <w:color w:val="555555"/>
          <w:sz w:val="18"/>
        </w:rPr>
        <w:t xml:space="preserve">Geldwäschegesetz</w:t>
      </w:r>
    </w:p>
    <w:p>
      <w:r>
        <w:rPr>
          <w:color w:val="555555"/>
          <w:sz w:val="18"/>
        </w:rPr>
        <w:t xml:space="preserve">Stand: 26.01.2023 (konsolidierte Textfassung, kein amtliches Inkrafttretensdatum)</w:t>
      </w:r>
    </w:p>
    <w:p>
      <w:r>
        <w:t xml:space="preserve">(1) Im Transparenzregister sind im Hinblick auf Vereinigungen nach § 20 Absatz 1 Satz 1 und Rechtsgestaltungen nach § 21 folgende Angaben zum wirtschaftlich Berechtigten nach Maßgabe des § 23 zugänglich:</w:t>
      </w:r>
    </w:p>
    <w:p>
      <w:pPr>
        <w:ind w:left="420"/>
      </w:pPr>
      <w:r>
        <w:t xml:space="preserve">1. Vor- und Nachname,</w:t>
      </w:r>
    </w:p>
    <w:p>
      <w:pPr>
        <w:ind w:left="420"/>
      </w:pPr>
      <w:r>
        <w:t xml:space="preserve">2. Geburtsdatum,</w:t>
      </w:r>
    </w:p>
    <w:p>
      <w:pPr>
        <w:ind w:left="420"/>
      </w:pPr>
      <w:r>
        <w:t xml:space="preserve">3. Wohnort,</w:t>
      </w:r>
    </w:p>
    <w:p>
      <w:pPr>
        <w:ind w:left="420"/>
      </w:pPr>
      <w:r>
        <w:t xml:space="preserve">4. Art und Umfang des wirtschaftlichen Interesses und</w:t>
      </w:r>
    </w:p>
    <w:p>
      <w:pPr>
        <w:ind w:left="420"/>
      </w:pPr>
      <w:r>
        <w:t xml:space="preserve">5. alle Staatsangehörigkeiten.</w:t>
      </w:r>
    </w:p>
    <w:p>
      <w:r>
        <w:t xml:space="preserve">(2) Für die Bestimmung des wirtschaftlich Berechtigten von Vereinigungen im Sinne des § 20 Absatz 1 Satz 1 mit Ausnahme der rechtsfähigen Stiftungen gilt § 3 Absatz 1 und 2 entsprechend. Für die Bestimmung des wirtschaftlich Berechtigten von Rechtsgestaltungen nach § 21 und rechtsfähigen Stiftungen gilt § 3 Absatz 1 und 3 entsprechend.</w:t>
      </w:r>
    </w:p>
    <w:p>
      <w:r>
        <w:t xml:space="preserve">(3) Die Angaben zu Art und Umfang des wirtschaftlichen Interesses nach Absatz 1 Nummer 4 zeigen, woraus die Stellung als wirtschaftlich Berechtigter folgt, und zwar</w:t>
      </w:r>
    </w:p>
    <w:p>
      <w:pPr>
        <w:ind w:left="420"/>
      </w:pPr>
      <w:r>
        <w:t xml:space="preserve">1. bei Vereinigungen nach § 20 Absatz 1 Satz 1 mit Ausnahme der rechtsfähigen Stiftungen aus</w:t>
      </w:r>
    </w:p>
    <w:p>
      <w:pPr>
        <w:ind w:left="780"/>
      </w:pPr>
      <w:r>
        <w:t xml:space="preserve">a) der Beteiligung an der Vereinigung selbst, insbesondere der Höhe der Kapitalanteile oder der Stimmrechte,</w:t>
      </w:r>
    </w:p>
    <w:p>
      <w:pPr>
        <w:ind w:left="780"/>
      </w:pPr>
      <w:r>
        <w:t xml:space="preserve">b) der Ausübung von Kontrolle auf sonstige Weise, insbesondere aufgrund von Absprachen zwischen einem Dritten und einem Anteilseigner oder zwischen mehreren Anteilseignern untereinander, oder aufgrund der einem Dritten eingeräumten Befugnis zur Ernennung von gesetzlichen Vertretern oder anderen Organmitgliedern oder</w:t>
      </w:r>
    </w:p>
    <w:p>
      <w:pPr>
        <w:ind w:left="780"/>
      </w:pPr>
      <w:r>
        <w:t xml:space="preserve">c) der Funktion des gesetzlichen Vertreters, geschäftsführenden Gesellschafters oder Partners,</w:t>
      </w:r>
    </w:p>
    <w:p>
      <w:pPr>
        <w:ind w:left="420"/>
      </w:pPr>
      <w:r>
        <w:t xml:space="preserve">2. bei Rechtsgestaltungen nach § 21 und rechtsfähigen Stiftungen aus einer der in § 3 Absatz 3 aufgeführten Funktionen.</w:t>
      </w:r>
    </w:p>
    <w:p>
      <w:r>
        <w:t xml:space="preserve">In den Fällen des Satzes 1 Nummer 1 Buchstabe c ist anzugeben, ob ermittelt wurde, dass keine natürliche Person die Voraussetzungen eines wirtschaftlich Berechtigten nach § 3 Absatz 1 oder Absatz 2 Satz 1 bis 4 erfüllt, oder ob die Ermittlung eines wirtschaftlich Berechtigten nach § 3 Absatz 1 oder Absatz 2 Satz 1 bis 4 nach Durchführung umfassender Prüfungen nicht möglich war.</w:t>
      </w:r>
    </w:p>
    <w:p>
      <w:r>
        <w:rPr>
          <w:color w:val="555555"/>
          <w:sz w:val="17"/>
        </w:rPr>
        <w:t xml:space="preserve">Zitiervorschlag: § 19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