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GwG 2017 — Ausführung der Sorgfaltspflichten durch Dritte, vertragliche Auslagerung</w:t>
      </w:r>
    </w:p>
    <w:p>
      <w:r>
        <w:rPr>
          <w:color w:val="555555"/>
          <w:sz w:val="18"/>
        </w:rPr>
        <w:t xml:space="preserve">Geldwäschegesetz</w:t>
      </w:r>
    </w:p>
    <w:p>
      <w:r>
        <w:rPr>
          <w:color w:val="555555"/>
          <w:sz w:val="18"/>
        </w:rPr>
        <w:t xml:space="preserve">Stand: 04.01.2025 (konsolidierte Textfassung, kein amtliches Inkrafttretensdatum)</w:t>
      </w:r>
    </w:p>
    <w:p>
      <w:r>
        <w:t xml:space="preserve">(1) Zur Erfüllung der allgemeinen Sorgfaltspflichten nach § 10 Absatz 1 Nummer 1 bis 4 kann ein Verpflichteter auf Dritte zurückgreifen. Dritte dürfen nur sein</w:t>
      </w:r>
    </w:p>
    <w:p>
      <w:pPr>
        <w:ind w:left="420"/>
      </w:pPr>
      <w:r>
        <w:t xml:space="preserve">1. Verpflichtete nach § 2 Absatz 1,</w:t>
      </w:r>
    </w:p>
    <w:p>
      <w:pPr>
        <w:ind w:left="420"/>
      </w:pPr>
      <w:r>
        <w:t xml:space="preserve">2. Verpflichtete gemäß Artikel 2 Absatz 1 der Richtlinie (EU) 2015/849 in einem anderen Mitgliedstaat der Europäischen Union oder in einem Vertragsstaat des Abkommens über den Europäischen Wirtschaftsraum,</w:t>
      </w:r>
    </w:p>
    <w:p>
      <w:pPr>
        <w:ind w:left="420"/>
      </w:pPr>
      <w:r>
        <w:t xml:space="preserve">3. Mitgliedsorganisationen oder Verbände von Verpflichteten nach Nummer 2 oder in einem Drittstaat ansässige Institute und Personen, sofern diese Sorgfalts- und Aufbewahrungspflichten unterliegen,</w:t>
      </w:r>
    </w:p>
    <w:p>
      <w:pPr>
        <w:ind w:left="780"/>
      </w:pPr>
      <w:r>
        <w:t xml:space="preserve">a) die den in der Richtlinie (EU) 2015/849 festgelegten Sorgfalts- und Aufbewahrungspflichten entsprechen und</w:t>
      </w:r>
    </w:p>
    <w:p>
      <w:pPr>
        <w:ind w:left="780"/>
      </w:pPr>
      <w:r>
        <w:t xml:space="preserve">b) deren Einhaltung in einer mit Kapitel VI Abschnitt 2 der Richtlinie (EU) 2015/849 im Einklang stehenden Weise beaufsichtigt wird.</w:t>
      </w:r>
    </w:p>
    <w:p>
      <w:r>
        <w:t xml:space="preserve">Die Verantwortung für die Erfüllung der allgemeinen Sorgfaltspflichten bleibt bei dem Verpflichteten.</w:t>
      </w:r>
    </w:p>
    <w:p>
      <w:r>
        <w:t xml:space="preserve">(2) Verpflichtete dürfen nicht auf einen Dritten zurückgreifen, der in einem Drittstaat mit hohem Risiko niedergelassen ist. Ausgenommen hiervon sind</w:t>
      </w:r>
    </w:p>
    <w:p>
      <w:pPr>
        <w:ind w:left="420"/>
      </w:pPr>
      <w:r>
        <w:t xml:space="preserve">1. Zweigstellen von in der Europäischen Union niedergelassenen Verpflichteten nach Artikel 2 Absatz 1 der Richtlinie (EU) 2015/849, wenn die Zweigstelle sich uneingeschränkt an die gruppenweit anzuwendenden Strategien und Verfahren gemäß Artikel 45 der Richtlinie (EU) 2015/849 hält, und</w:t>
      </w:r>
    </w:p>
    <w:p>
      <w:pPr>
        <w:ind w:left="420"/>
      </w:pPr>
      <w:r>
        <w:t xml:space="preserve">2. Tochterunternehmen, die sich im Mehrheitsbesitz von in der Europäischen Union niedergelassenen Verpflichteten nach Artikel 2 Absatz 1 der Richtlinie (EU) 2015/849 befinden, wenn das Tochterunternehmen sich uneingeschränkt an die gruppenweit anzuwendenden Strategien und Verfahren gemäß Artikel 45 der Richtlinie (EU) 2015/849 hält.</w:t>
      </w:r>
    </w:p>
    <w:p>
      <w:r>
        <w:t xml:space="preserve">(3) Wenn ein Verpflichteter auf Dritte zurückgreift, muss er sicherstellen, dass die Dritten</w:t>
      </w:r>
    </w:p>
    <w:p>
      <w:pPr>
        <w:ind w:left="420"/>
      </w:pPr>
      <w:r>
        <w:t xml:space="preserve">1. bei der Identifizierung von im Inland ansässigen Personen den Vorschriften dieses Gesetzes entsprechen,</w:t>
      </w:r>
    </w:p>
    <w:p>
      <w:pPr>
        <w:ind w:left="420"/>
      </w:pPr>
      <w:r>
        <w:t xml:space="preserve">2. die Informationen einholen, die für die Durchführung der Sorgfaltspflichten nach § 10 Absatz 1 Nummer 1 bis 4 notwendig sind, und</w:t>
      </w:r>
    </w:p>
    <w:p>
      <w:pPr>
        <w:ind w:left="420"/>
      </w:pPr>
      <w:r>
        <w:t xml:space="preserve">3. ihm diese Informationen unverzüglich und unmittelbar übermitteln.</w:t>
      </w:r>
    </w:p>
    <w:p>
      <w:r>
        <w:t xml:space="preserve">Er hat zudem angemessene Schritte zu unternehmen, um zu gewährleisten, dass die Dritten ihm auf seine Anforderung hin unverzüglich Kopien derjenigen Dokumente, die maßgeblich zur Feststellung und Überprüfung der Identität des Vertragspartners, gegebenenfalls der für diesen auftretenden Personen und eines etwaigen wirtschaftlich Berechtigten sind, einschließlich Informationen, soweit diese verfügbar sind, die mittels elektronischer Mittel nach § 12 Absatz 1 Satz 1 Nummer 4 eingeholt wurden, sowie andere maßgebliche Unterlagen vorlegen. Die Dritten sind befugt, zu diesem Zweck Kopien von Ausweisdokumenten zu erstellen und weiterzuleiten.</w:t>
      </w:r>
    </w:p>
    <w:p>
      <w:r>
        <w:t xml:space="preserve">(3a) Der Dritte kann zur Identifizierung des Vertragspartners, einer gegebenenfalls für ihn auftretenden Person und eines wirtschaftlich Berechtigten auch auf anlässlich einer zu einem früheren Zeitpunkt erfolgten Identifizierung dieser Person eingeholte Informationen nach Absatz 3 Satz 1 Nummer 2 zurückgreifen, sofern</w:t>
      </w:r>
    </w:p>
    <w:p>
      <w:pPr>
        <w:ind w:left="420"/>
      </w:pPr>
      <w:r>
        <w:t xml:space="preserve">1. die Identifizierung im Rahmen der Begründung einer eigenen Geschäftsbeziehung des Dritten und nicht unter Anwendung vereinfachter Sorgfaltspflichten erfolgt ist,</w:t>
      </w:r>
    </w:p>
    <w:p>
      <w:pPr>
        <w:ind w:left="420"/>
      </w:pPr>
      <w:r>
        <w:t xml:space="preserve">2. die Identifizierung oder die letzte Aktualisierung unter Einhaltung des § 12 vor nicht mehr als 24 Monaten abgeschlossen wurde,</w:t>
      </w:r>
    </w:p>
    <w:p>
      <w:pPr>
        <w:ind w:left="420"/>
      </w:pPr>
      <w:r>
        <w:t xml:space="preserve">3. für den Verpflichteten aufgrund äußerer Umstände keine Zweifel an der Richtigkeit der ihm übermittelten Informationen bestehen und</w:t>
      </w:r>
    </w:p>
    <w:p>
      <w:pPr>
        <w:ind w:left="420"/>
      </w:pPr>
      <w:r>
        <w:t xml:space="preserve">4. das Gültigkeitsdatum eines im Rahmen der Identifizierung oder der letzten Aktualisierung unter Einhaltung des § 12 gegebenenfalls verwendeten Identifikationsdokuments noch nicht abgelaufen ist.</w:t>
      </w:r>
    </w:p>
    <w:p>
      <w:r>
        <w:t xml:space="preserve">Absatz 3 Satz 2 und 3 gilt entsprechend.</w:t>
      </w:r>
    </w:p>
    <w:p>
      <w:r>
        <w:t xml:space="preserve">(4) Die Voraussetzungen der Absätze 1 und 3 gelten als erfüllt, wenn</w:t>
      </w:r>
    </w:p>
    <w:p>
      <w:pPr>
        <w:ind w:left="420"/>
      </w:pPr>
      <w:r>
        <w:t xml:space="preserve">1. der Verpflichtete auf Dritte zurückgreift, die derselben Gruppe angehören wie er selbst,</w:t>
      </w:r>
    </w:p>
    <w:p>
      <w:pPr>
        <w:ind w:left="420"/>
      </w:pPr>
      <w:r>
        <w:t xml:space="preserve">2. die in dieser Gruppe angewandten Sorgfaltspflichten, Aufbewahrungsvorschriften, Strategien und Verfahren zur Verhinderung von Geldwäsche und von Terrorismusfinanzierung mit den Vorschriften der Richtlinie (EU) 2015/849 oder gleichwertigen Vorschriften im Einklang stehen und</w:t>
      </w:r>
    </w:p>
    <w:p>
      <w:pPr>
        <w:ind w:left="420"/>
      </w:pPr>
      <w:r>
        <w:t xml:space="preserve">3. die effektive Umsetzung dieser Anforderungen auf Gruppenebene von einer Behörde beaufsichtigt wird.</w:t>
      </w:r>
    </w:p>
    <w:p>
      <w:r>
        <w:t xml:space="preserve">(5) Ein Verpflichteter kann die Durchführung der Maßnahmen, die zur Erfüllung der Sorgfaltspflichten nach § 10 Absatz 1 Nummer 1 bis 4 erforderlich sind, auf andere geeignete Personen und Unternehmen als die in Absatz 1 genannten Dritten übertragen. Die Übertragung bedarf einer vertraglichen Vereinbarung und der Verpflichtete hat sicherzustellen, dass die anderen geeigneten Personen und Unternehmen den Vorschriften dieses Gesetzes entsprechen. Die Maßnahmen der Personen oder der Unternehmen werden dem Verpflichteten als eigene Maßnahmen zugerechnet. Absatz 3 gilt entsprechend.</w:t>
      </w:r>
    </w:p>
    <w:p>
      <w:r>
        <w:t xml:space="preserve">(6) Durch die Übertragung nach Absatz 5 dürfen nicht beeinträchtigt werden</w:t>
      </w:r>
    </w:p>
    <w:p>
      <w:pPr>
        <w:ind w:left="420"/>
      </w:pPr>
      <w:r>
        <w:t xml:space="preserve">1. die Erfüllung der Pflichten nach diesem Gesetz durch den Verpflichteten,</w:t>
      </w:r>
    </w:p>
    <w:p>
      <w:pPr>
        <w:ind w:left="420"/>
      </w:pPr>
      <w:r>
        <w:t xml:space="preserve">2. die Steuerungs- oder Kontrollmöglichkeiten der Geschäftsleitung des Verpflichteten und</w:t>
      </w:r>
    </w:p>
    <w:p>
      <w:pPr>
        <w:ind w:left="420"/>
      </w:pPr>
      <w:r>
        <w:t xml:space="preserve">3. die Aufsicht der Aufsichtsbehörde über den Verpflichteten.</w:t>
      </w:r>
    </w:p>
    <w:p>
      <w:r>
        <w:t xml:space="preserve">(7) Vor der Übertragung nach Absatz 5 hat sich der Verpflichtete von der Zuverlässigkeit der Personen oder der Unternehmen, denen er Maßnahmen übertragen will, zu überzeugen. Während der Zusammenarbeit muss er sich durch Stichproben von der Angemessenheit und Ordnungsmäßigkeit der Maßnahmen überzeugen, die diese Personen oder Unternehmen getroffen haben.</w:t>
      </w:r>
    </w:p>
    <w:p>
      <w:r>
        <w:t xml:space="preserve">(8) Soweit eine vertragliche Vereinbarung nach Absatz 5 mit deutschen Botschaften, Auslandshandelskammern oder Konsulaten geschlossen wird, gelten diese kraft Vereinbarung als geeignet. Absatz 7 findet keine Anwendung.</w:t>
      </w:r>
    </w:p>
    <w:p>
      <w:r>
        <w:t xml:space="preserve">(9) Bei der Übertragung nach Absatz 5 bleiben die Vorschriften über die Auslagerung von Aktivitäten und Prozessen nach § 25b des Kreditwesengesetzes und nach Artikel 73 der Verordnung (EU) 2023/1114 unberührt.</w:t>
      </w:r>
    </w:p>
    <w:p>
      <w:r>
        <w:rPr>
          <w:color w:val="555555"/>
          <w:sz w:val="17"/>
        </w:rPr>
        <w:t xml:space="preserve">Zitiervorschlag: § 17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