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GwG 2017 — Verfahren zur Überprüfung von Angaben zum Zweck der Identifizierung, Verordnungsermächtigung</w:t>
      </w:r>
    </w:p>
    <w:p>
      <w:r>
        <w:rPr>
          <w:color w:val="555555"/>
          <w:sz w:val="18"/>
        </w:rPr>
        <w:t xml:space="preserve">Geldwäschegesetz</w:t>
      </w:r>
    </w:p>
    <w:p>
      <w:r>
        <w:rPr>
          <w:color w:val="555555"/>
          <w:sz w:val="18"/>
        </w:rPr>
        <w:t xml:space="preserve">Stand: 03.09.2021 (konsolidierte Textfassung, kein amtliches Inkrafttretensdatum)</w:t>
      </w:r>
    </w:p>
    <w:p>
      <w:r>
        <w:t xml:space="preserve">(1) Verpflichtete überprüfen die zum Zweck der Identifizierung erhobenen Angaben bei natürlichen Personen mit einem der folgenden Verfahren:</w:t>
      </w:r>
    </w:p>
    <w:p>
      <w:pPr>
        <w:ind w:left="420"/>
      </w:pPr>
      <w:r>
        <w:t xml:space="preserve">1. durch angemessene Prüfung des vor Ort vorgelegten Dokuments oder</w:t>
      </w:r>
    </w:p>
    <w:p>
      <w:pPr>
        <w:ind w:left="420"/>
      </w:pPr>
      <w:r>
        <w:t xml:space="preserve">2. mittels eines sonstigen Verfahrens, das zur geldwäscherechtlichen Überprüfung der Identität geeignet ist und ein Sicherheitsniveau aufweist, das dem in Nummer 1 genannten Verfahren gleichwertig ist.</w:t>
      </w:r>
    </w:p>
    <w:p>
      <w:r>
        <w:t xml:space="preserve">(2) Das Bundesministerium der Finanzen kann im Einvernehmen mit dem Bundesministerium des Innern, für Bau und Heimat durch Rechtsverordnung, die nicht der Zustimmung des Bundesrates bedarf,</w:t>
      </w:r>
    </w:p>
    <w:p>
      <w:pPr>
        <w:ind w:left="420"/>
      </w:pPr>
      <w:r>
        <w:t xml:space="preserve">1. Konkretisierungen oder weitere Anforderungen an das in Absatz 1 genannte Verfahren und an die sich dieses Verfahrens bedienenden Verpflichteten sowie die Aufzeichnungs- und Aufbewahrungspflichten bei Nutzung dieses Verfahrens festlegen,</w:t>
      </w:r>
    </w:p>
    <w:p>
      <w:pPr>
        <w:ind w:left="420"/>
      </w:pPr>
      <w:r>
        <w:t xml:space="preserve">2. Verfahren bestimmen, die zur geldwäscherechtlichen Identifizierung nach Absatz 1 Nummer 2 geeignet sind und</w:t>
      </w:r>
    </w:p>
    <w:p>
      <w:pPr>
        <w:ind w:left="420"/>
      </w:pPr>
      <w:r>
        <w:t xml:space="preserve">3. Verfahren bestimmen, deren Eignung zur geldwäscherechtlichen Überprüfung der Identität erprobt wird und bei denen zu ermitteln ist, ob sie ein Sicherheitsniveau aufweisen, das dem in Absatz 1 Nummer 1 genannten Verfahren gleichwertig ist.</w:t>
      </w:r>
    </w:p>
    <w:p>
      <w:r>
        <w:t xml:space="preserve">Bei Verfahren nach Nummer 3 können die Aufsichtsbehörden nach § 50 dazu ermächtigt werden, die Nutzung der Verfahren befristet, unter Vorbehalt eines Widerrufs und unter Auflagen zuzulassen. Eine Zulassung elektronischer Verfahren nach Nummer 3 erfolgt nur, wenn das Bundesamt für Sicherheit in der Informationstechnik bei einer vorherigen Überprüfung des Verfahrens das für die Erprobung notwendige Sicherheitsniveau festgestellt hat.</w:t>
      </w:r>
    </w:p>
    <w:p>
      <w:r>
        <w:rPr>
          <w:color w:val="555555"/>
          <w:sz w:val="17"/>
        </w:rPr>
        <w:t xml:space="preserve">Zitiervorschlag: § 13 GwG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https://recht.nulegal.eu/gesetze/GwG%202017/13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