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11a GwG 2017 — Verarbeitung personenbezogener Daten durch Verpflichtete</w:t>
      </w:r>
    </w:p>
    <w:p>
      <w:r>
        <w:rPr>
          <w:color w:val="555555"/>
          <w:sz w:val="18"/>
        </w:rPr>
        <w:t xml:space="preserve">Geldwäschegesetz</w:t>
      </w:r>
    </w:p>
    <w:p>
      <w:r>
        <w:rPr>
          <w:color w:val="555555"/>
          <w:sz w:val="18"/>
        </w:rPr>
        <w:t xml:space="preserve">Stand: 10.01.2020 (konsolidierte Textfassung, kein amtliches Inkrafttretensdatum)</w:t>
      </w:r>
    </w:p>
    <w:p>
      <w:r>
        <w:t xml:space="preserve">(1) Verpflichtete nach § 2 dürfen personenbezogene Daten nur verarbeiten, soweit dies auf Grundlage dieses Gesetzes für Zwecke der Verhinderung von Geldwäsche und Terrorismusfinanzierung erforderlich ist.</w:t>
      </w:r>
    </w:p>
    <w:p>
      <w:r>
        <w:t xml:space="preserve">(2) Soweit ein den Vorschriften dieses Gesetzes unterliegender Verpflichteter nach § 2 personenbezogene Daten für Zwecke gemäß Absatz 1 an die zuständigen Aufsichtsbehörden oder die Personen und Einrichtungen, deren sich die zuständigen Aufsichtsbehörden bei der Durchführung ihrer Aufgaben bedienen, oder an die Zentralstelle für Finanztransaktionsuntersuchungen übermittelt, bestehen die Pflicht zur Information der betroffenen Person nach Artikel 13 Absatz 3 der Verordnung (EU) 2016/679 und das Recht auf Auskunft der betroffenen Person nach Artikel 15 der Verordnung (EU) 2016/679 nicht.</w:t>
      </w:r>
    </w:p>
    <w:p>
      <w:r>
        <w:t xml:space="preserve">(3) Die Absätze 1 und 2 finden entsprechende Anwendung auf Dritte im Sinne von § 17, auf die ein Verpflichteter zur Erfüllung der allgemeinen Sorgfaltspflichten nach § 10 Absatz 1 Nummer 1 bis 4 zurückgreift.</w:t>
      </w:r>
    </w:p>
    <w:p>
      <w:r>
        <w:rPr>
          <w:color w:val="555555"/>
          <w:sz w:val="17"/>
        </w:rPr>
        <w:t xml:space="preserve">Zitiervorschlag: § 11a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