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GwG 2017 — Begriffsbestimmungen</w:t>
      </w:r>
    </w:p>
    <w:p>
      <w:r>
        <w:rPr>
          <w:color w:val="555555"/>
          <w:sz w:val="18"/>
        </w:rPr>
        <w:t xml:space="preserve">Geldwäschegesetz</w:t>
      </w:r>
    </w:p>
    <w:p>
      <w:r>
        <w:rPr>
          <w:color w:val="555555"/>
          <w:sz w:val="18"/>
        </w:rPr>
        <w:t xml:space="preserve">Stand: 04.01.2025 (konsolidierte Textfassung, kein amtliches Inkrafttretensdatum)</w:t>
      </w:r>
    </w:p>
    <w:p>
      <w:r>
        <w:t xml:space="preserve">(1) Geldwäsche im Sinne dieses Gesetzes ist eine Straftat nach § 261 des Strafgesetzbuchs.</w:t>
      </w:r>
    </w:p>
    <w:p>
      <w:r>
        <w:t xml:space="preserve">(2) Terrorismusfinanzierung im Sinne dieses Gesetzes ist</w:t>
      </w:r>
    </w:p>
    <w:p>
      <w:pPr>
        <w:ind w:left="420"/>
      </w:pPr>
      <w:r>
        <w:t xml:space="preserve">1. die Bereitstellung oder Sammlung von Vermögensgegenständen mit dem Wissen oder in der Absicht, dass diese Vermögensgegenstände ganz oder teilweise dazu verwendet werden oder verwendet werden sollen, eine oder mehrere der folgenden Straftaten zu begehen:</w:t>
      </w:r>
    </w:p>
    <w:p>
      <w:pPr>
        <w:ind w:left="780"/>
      </w:pPr>
      <w:r>
        <w:t xml:space="preserve">a) eine Tat nach § 129a des Strafgesetzbuchs, auch in Verbindung mit § 129b des Strafgesetzbuchs, oder</w:t>
      </w:r>
    </w:p>
    <w:p>
      <w:pPr>
        <w:ind w:left="780"/>
      </w:pPr>
      <w:r>
        <w:t xml:space="preserve">b) eine andere der in den Artikeln 3, 5 bis 10 und 12 der Richtlinie (EU) 2017/541 des Europäischen Parlaments und des Rates vom 15. März 2017 zur Terrorismusbekämpfung und zur Ersetzung des Rahmenbeschlusses 2002/475/JI des Rates und zur Änderung des Beschlusses 2005/671/JI des Rates (ABl. L 88 vom 31.3.2017, S. 6) umschriebenen Straftaten,</w:t>
      </w:r>
    </w:p>
    <w:p>
      <w:pPr>
        <w:ind w:left="420"/>
      </w:pPr>
      <w:r>
        <w:t xml:space="preserve">2. die Begehung einer Tat nach § 89c des Strafgesetzbuchs oder</w:t>
      </w:r>
    </w:p>
    <w:p>
      <w:pPr>
        <w:ind w:left="420"/>
      </w:pPr>
      <w:r>
        <w:t xml:space="preserve">3. die Anstiftung oder Beihilfe zu einer Tat nach Nummer 1 oder 2.</w:t>
      </w:r>
    </w:p>
    <w:p>
      <w:r>
        <w:t xml:space="preserve">(3) Identifizierung im Sinne dieses Gesetzes besteht aus</w:t>
      </w:r>
    </w:p>
    <w:p>
      <w:pPr>
        <w:ind w:left="420"/>
      </w:pPr>
      <w:r>
        <w:t xml:space="preserve">1. dem Erheben von Angaben zum Zweck der Identifizierung und</w:t>
      </w:r>
    </w:p>
    <w:p>
      <w:pPr>
        <w:ind w:left="420"/>
      </w:pPr>
      <w:r>
        <w:t xml:space="preserve">2. der Überprüfung dieser Angaben zum Zweck der Identifizierung.</w:t>
      </w:r>
    </w:p>
    <w:p>
      <w:r>
        <w:t xml:space="preserve">(4) Geschäftsbeziehung im Sinne dieses Gesetzes ist jede Beziehung, die unmittelbar in Verbindung mit den gewerblichen oder beruflichen Aktivitäten der Verpflichteten steht und bei der beim Zustandekommen des Kontakts davon ausgegangen wird, dass sie von gewisser Dauer sein wird.</w:t>
      </w:r>
    </w:p>
    <w:p>
      <w:r>
        <w:t xml:space="preserve">(5) Transaktion im Sinne dieses Gesetzes ist oder sind eine oder, soweit zwischen ihnen eine Verbindung zu bestehen scheint, mehrere Handlungen, die eine Geldbewegung oder eine sonstige Vermögensverschiebung bezweckt oder bezwecken oder bewirkt oder bewirken. Bei Vermittlungstätigkeiten von Verpflichteten nach § 2 Absatz 1 Nummer 14 und 16 gilt als Transaktion im Sinne dieses Gesetzes das vermittelte Rechtsgeschäft.</w:t>
      </w:r>
    </w:p>
    <w:p>
      <w:r>
        <w:t xml:space="preserve">(6) Trust im Sinne dieses Gesetzes ist eine Rechtgestaltung, die als Trust errichtet wurde, wenn das für die Errichtung anwendbare Recht das Rechtsinstitut des Trusts vorsieht. Sieht das für die Errichtung anwendbare Recht ein Rechtsinstitut vor, das dem Trust nachgebildet ist, so gelten auch Rechtsgestaltungen, die unter Verwendung dieses Rechtsinstituts errichtet wurden, als Trust.</w:t>
      </w:r>
    </w:p>
    <w:p>
      <w:r>
        <w:t xml:space="preserve">(7) Vermögensgegenstand im Sinne dieses Gesetzes ist</w:t>
      </w:r>
    </w:p>
    <w:p>
      <w:pPr>
        <w:ind w:left="420"/>
      </w:pPr>
      <w:r>
        <w:t xml:space="preserve">1. jeder Vermögenswert, ob körperlich oder nichtkörperlich, beweglich oder unbeweglich, materiell oder immateriell, sowie</w:t>
      </w:r>
    </w:p>
    <w:p>
      <w:pPr>
        <w:ind w:left="420"/>
      </w:pPr>
      <w:r>
        <w:t xml:space="preserve">2. Rechtstitel und Urkunden in jeder Form, einschließlich der elektronischen und digitalen Form, die das Eigentumsrecht oder sonstige Rechte an Vermögenswerten nach Nummer 1 verbriefen.</w:t>
      </w:r>
    </w:p>
    <w:p>
      <w:r>
        <w:t xml:space="preserve">(7a) Immobilien im Sinne dieses Gesetzes sind Grundstücke, grundstücksgleiche Rechte und Miteigentumsanteile an Grundstücken, die im Bestandsverzeichnis eines Grundbuchblattes aufgeführt sind.</w:t>
      </w:r>
    </w:p>
    <w:p>
      <w:r>
        <w:t xml:space="preserve">(8) Glücksspiel im Sinne dieses Gesetzes ist jedes Spiel, bei dem ein Spieler für den Erwerb einer Gewinnchance ein Entgelt entrichtet und der Eintritt von Gewinn oder Verlust ganz oder überwiegend vom Zufall abhängt.</w:t>
      </w:r>
    </w:p>
    <w:p>
      <w:r>
        <w:t xml:space="preserve">(9) Güterhändler im Sinne dieses Gesetzes ist, wer gewerblich Güter veräußert, unabhängig davon, in wessen Namen oder auf wessen Rechnung.</w:t>
      </w:r>
    </w:p>
    <w:p>
      <w:r>
        <w:t xml:space="preserve">(10) Hochwertige Güter im Sinne dieses Gesetzes sind Gegenstände,</w:t>
      </w:r>
    </w:p>
    <w:p>
      <w:pPr>
        <w:ind w:left="420"/>
      </w:pPr>
      <w:r>
        <w:t xml:space="preserve">1. die sich aufgrund ihrer Beschaffenheit, ihres Verkehrswertes oder ihres bestimmungsgemäßen Gebrauchs von Gebrauchsgegenständen des Alltags abheben oder</w:t>
      </w:r>
    </w:p>
    <w:p>
      <w:pPr>
        <w:ind w:left="420"/>
      </w:pPr>
      <w:r>
        <w:t xml:space="preserve">2. die aufgrund ihres Preises keine Alltagsanschaffung darstellen.</w:t>
      </w:r>
    </w:p>
    <w:p>
      <w:r>
        <w:t xml:space="preserve">Zu ihnen gehören insbesondere</w:t>
      </w:r>
    </w:p>
    <w:p>
      <w:pPr>
        <w:ind w:left="420"/>
      </w:pPr>
      <w:r>
        <w:t xml:space="preserve">1. Edelmetalle wie Gold, Silber und Platin,</w:t>
      </w:r>
    </w:p>
    <w:p>
      <w:pPr>
        <w:ind w:left="420"/>
      </w:pPr>
      <w:r>
        <w:t xml:space="preserve">2. Edelsteine,</w:t>
      </w:r>
    </w:p>
    <w:p>
      <w:pPr>
        <w:ind w:left="420"/>
      </w:pPr>
      <w:r>
        <w:t xml:space="preserve">3. Schmuck und Uhren,</w:t>
      </w:r>
    </w:p>
    <w:p>
      <w:pPr>
        <w:ind w:left="420"/>
      </w:pPr>
      <w:r>
        <w:t xml:space="preserve">4. Kunstgegenstände und Antiquitäten,</w:t>
      </w:r>
    </w:p>
    <w:p>
      <w:pPr>
        <w:ind w:left="420"/>
      </w:pPr>
      <w:r>
        <w:t xml:space="preserve">5. Kraftfahrzeuge, Schiffe und Motorboote sowie Luftfahrzeuge.</w:t>
      </w:r>
    </w:p>
    <w:p>
      <w:r>
        <w:t xml:space="preserve">(11) Immobilienmakler im Sinne dieses Gesetzes ist, wer gewerblich den Abschluss von Kauf-, Pacht- oder Mietverträgen über Grundstücke, grundstücksgleiche Rechte, gewerbliche Räume oder Wohnräume vermittelt.</w:t>
      </w:r>
    </w:p>
    <w:p>
      <w:r>
        <w:t xml:space="preserve">(12) Politisch exponierte Person im Sinne dieses Gesetzes ist jede Person, die ein hochrangiges wichtiges öffentliches Amt auf internationaler, europäischer oder nationaler Ebene ausübt oder ausgeübt hat oder ein öffentliches Amt unterhalb der nationalen Ebene, dessen politische Bedeutung vergleichbar ist, ausübt oder ausgeübt hat. Zu den politisch exponierten Personen gehören insbesondere</w:t>
      </w:r>
    </w:p>
    <w:p>
      <w:pPr>
        <w:ind w:left="420"/>
      </w:pPr>
      <w:r>
        <w:t xml:space="preserve">1. Personen, die folgende Funktionen innehaben:</w:t>
      </w:r>
    </w:p>
    <w:p>
      <w:pPr>
        <w:ind w:left="780"/>
      </w:pPr>
      <w:r>
        <w:t xml:space="preserve">a) Staatschefs, Regierungschefs, Minister, Mitglieder der Europäischen Kommission, stellvertretende Minister und Staatssekretäre,</w:t>
      </w:r>
    </w:p>
    <w:p>
      <w:pPr>
        <w:ind w:left="780"/>
      </w:pPr>
      <w:r>
        <w:t xml:space="preserve">b) Parlamentsabgeordnete und Mitglieder vergleichbarer Gesetzgebungsorgane,</w:t>
      </w:r>
    </w:p>
    <w:p>
      <w:pPr>
        <w:ind w:left="780"/>
      </w:pPr>
      <w:r>
        <w:t xml:space="preserve">c) Mitglieder der Führungsgremien politischer Parteien,</w:t>
      </w:r>
    </w:p>
    <w:p>
      <w:pPr>
        <w:ind w:left="780"/>
      </w:pPr>
      <w:r>
        <w:t xml:space="preserve">d) Mitglieder von obersten Gerichtshöfen, Verfassungsgerichtshöfen oder sonstigen hohen Gerichten, gegen deren Entscheidungen im Regelfall kein Rechtsmittel mehr eingelegt werden kann,</w:t>
      </w:r>
    </w:p>
    <w:p>
      <w:pPr>
        <w:ind w:left="780"/>
      </w:pPr>
      <w:r>
        <w:t xml:space="preserve">e) Mitglieder der Leitungsorgane von Rechnungshöfen,</w:t>
      </w:r>
    </w:p>
    <w:p>
      <w:pPr>
        <w:ind w:left="780"/>
      </w:pPr>
      <w:r>
        <w:t xml:space="preserve">f) Mitglieder der Leitungsorgane von Zentralbanken,</w:t>
      </w:r>
    </w:p>
    <w:p>
      <w:pPr>
        <w:ind w:left="780"/>
      </w:pPr>
      <w:r>
        <w:t xml:space="preserve">g) Botschafter, Geschäftsträger und Verteidigungsattachés,</w:t>
      </w:r>
    </w:p>
    <w:p>
      <w:pPr>
        <w:ind w:left="780"/>
      </w:pPr>
      <w:r>
        <w:t xml:space="preserve">h) Mitglieder der Verwaltungs-, Leitungs- und Aufsichtsorgane staatseigener Unternehmen,</w:t>
      </w:r>
    </w:p>
    <w:p>
      <w:pPr>
        <w:ind w:left="780"/>
      </w:pPr>
      <w:r>
        <w:t xml:space="preserve">i) Direktoren, stellvertretende Direktoren, Mitglieder des Leitungsorgans oder sonstige Leiter mit vergleichbarer Funktion in einer zwischenstaatlichen internationalen oder europäischen Organisation;</w:t>
      </w:r>
    </w:p>
    <w:p>
      <w:pPr>
        <w:ind w:left="420"/>
      </w:pPr>
      <w:r>
        <w:t xml:space="preserve">2. Personen, die Ämter innehaben, welche in der nach Artikel 1 Nummer 13 der Richtlinie (EU) 2018/843 des Europäischen Parlaments und des Rates vom 30. Mai 2018 zur Änderung der Richtlinie (EU) 2015/849 zur Verhinderung der Nutzung des Finanzsystems zum Zwecke der Geldwäsche und der Terrorismusfinanzierung und zur Änderung der Richtlinien 2009/138/EG und 2013/36/EU (ABl. L 156 vom 19.6.2018, S. 43) von der Europäischen Kommission veröffentlichten Liste enthalten sind.</w:t>
      </w:r>
    </w:p>
    <w:p>
      <w:r>
        <w:t xml:space="preserve">Das Bundesministerium der Finanzen erstellt, aktualisiert und übermittelt der Europäischen Kommission eine Liste gemäß Artikel 1 Nummer 13 der Richtlinie (EU) 2018/843. Organisationen nach Satz 2 Nummer 1 Buchstabe i mit Sitz in Deutschland übermitteln dem Bundesministerium der Finanzen hierfür jährlich zum Jahresende eine Liste mit wichtigen öffentlichen Ämtern nach dieser Vorschrift.</w:t>
      </w:r>
    </w:p>
    <w:p>
      <w:r>
        <w:t xml:space="preserve">(13) Familienmitglied im Sinne dieses Gesetzes ist ein naher Angehöriger einer politisch exponierten Person, insbesondere</w:t>
      </w:r>
    </w:p>
    <w:p>
      <w:pPr>
        <w:ind w:left="420"/>
      </w:pPr>
      <w:r>
        <w:t xml:space="preserve">1. der Ehepartner oder eingetragene Lebenspartner,</w:t>
      </w:r>
    </w:p>
    <w:p>
      <w:pPr>
        <w:ind w:left="420"/>
      </w:pPr>
      <w:r>
        <w:t xml:space="preserve">2. ein Kind und dessen Ehepartner oder eingetragener Lebenspartner sowie</w:t>
      </w:r>
    </w:p>
    <w:p>
      <w:pPr>
        <w:ind w:left="420"/>
      </w:pPr>
      <w:r>
        <w:t xml:space="preserve">3. jeder Elternteil.</w:t>
      </w:r>
    </w:p>
    <w:p>
      <w:r>
        <w:t xml:space="preserve">(14) Bekanntermaßen nahestehende Person im Sinne dieses Gesetzes ist eine natürliche Person, bei der der Verpflichtete Grund zu der Annahme haben muss, dass diese Person</w:t>
      </w:r>
    </w:p>
    <w:p>
      <w:pPr>
        <w:ind w:left="420"/>
      </w:pPr>
      <w:r>
        <w:t xml:space="preserve">1. gemeinsam mit einer politisch exponierten Person</w:t>
      </w:r>
    </w:p>
    <w:p>
      <w:pPr>
        <w:ind w:left="780"/>
      </w:pPr>
      <w:r>
        <w:t xml:space="preserve">a) wirtschaftlich Berechtigter einer Vereinigung nach § 20 Absatz 1 ist oder</w:t>
      </w:r>
    </w:p>
    <w:p>
      <w:pPr>
        <w:ind w:left="780"/>
      </w:pPr>
      <w:r>
        <w:t xml:space="preserve">b) wirtschaftlich Berechtigter einer Rechtsgestaltung nach § 21 ist,</w:t>
      </w:r>
    </w:p>
    <w:p>
      <w:pPr>
        <w:ind w:left="420"/>
      </w:pPr>
      <w:r>
        <w:t xml:space="preserve">2. zu einer politisch exponierten Person sonstige enge Geschäftsbeziehungen unterhält oder</w:t>
      </w:r>
    </w:p>
    <w:p>
      <w:pPr>
        <w:ind w:left="420"/>
      </w:pPr>
      <w:r>
        <w:t xml:space="preserve">3. alleiniger wirtschaftlich Berechtigter</w:t>
      </w:r>
    </w:p>
    <w:p>
      <w:pPr>
        <w:ind w:left="780"/>
      </w:pPr>
      <w:r>
        <w:t xml:space="preserve">a) einer Vereinigung nach § 20 Absatz 1 ist oder</w:t>
      </w:r>
    </w:p>
    <w:p>
      <w:pPr>
        <w:ind w:left="780"/>
      </w:pPr>
      <w:r>
        <w:t xml:space="preserve">b) einer Rechtsgestaltung nach § 21 ist,</w:t>
      </w:r>
    </w:p>
    <w:p>
      <w:pPr>
        <w:ind w:left="420"/>
      </w:pPr>
      <w:r>
        <w:t xml:space="preserve">bei der der Verpflichtete Grund zu der Annahme haben muss, dass die Errichtung faktisch zugunsten einer politisch exponierten Person erfolgte.</w:t>
      </w:r>
    </w:p>
    <w:p>
      <w:r>
        <w:t xml:space="preserve">(15) Mitglied der Führungsebene im Sinne dieses Gesetzes ist eine Führungskraft oder ein leitender Mitarbeiter eines Verpflichteten mit ausreichendem Wissen über die Risiken, denen der Verpflichtete in Bezug auf Geldwäsche und Terrorismusfinanzierung ausgesetzt ist, und mit der Befugnis, insoweit Entscheidungen zu treffen. Ein Mitglied der Führungsebene muss nicht zugleich ein Mitglied der Leitungsebene sein.</w:t>
      </w:r>
    </w:p>
    <w:p>
      <w:r>
        <w:t xml:space="preserve">(16) Gruppe im Sinne dieses Gesetzes ist ein Zusammenschluss von Unternehmen, der besteht aus</w:t>
      </w:r>
    </w:p>
    <w:p>
      <w:pPr>
        <w:ind w:left="420"/>
      </w:pPr>
      <w:r>
        <w:t xml:space="preserve">1. einem Mutterunternehmen,</w:t>
      </w:r>
    </w:p>
    <w:p>
      <w:pPr>
        <w:ind w:left="420"/>
      </w:pPr>
      <w:r>
        <w:t xml:space="preserve">2. den Tochterunternehmen des Mutterunternehmens,</w:t>
      </w:r>
    </w:p>
    <w:p>
      <w:pPr>
        <w:ind w:left="420"/>
      </w:pPr>
      <w:r>
        <w:t xml:space="preserve">3. den Unternehmen, an denen das Mutterunternehmen oder seine Tochterunternehmen eine Beteiligung halten, und</w:t>
      </w:r>
    </w:p>
    <w:p>
      <w:pPr>
        <w:ind w:left="420"/>
      </w:pPr>
      <w:r>
        <w:t xml:space="preserve">4. Unternehmen, die untereinander verbunden sind durch eine Beziehung im Sinne des Artikels 22 Absatz 1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Richtlinien78/660/EWG und 83/349/EWG des Rates (ABl. L 182 vom 29.6.2013, S. 19).</w:t>
      </w:r>
    </w:p>
    <w:p>
      <w:r>
        <w:t xml:space="preserve">(17) Drittstaat im Sinne dieses Gesetzes ist ein Staat,</w:t>
      </w:r>
    </w:p>
    <w:p>
      <w:pPr>
        <w:ind w:left="420"/>
      </w:pPr>
      <w:r>
        <w:t xml:space="preserve">1. der nicht Mitgliedstaat der Europäischen Union ist und</w:t>
      </w:r>
    </w:p>
    <w:p>
      <w:pPr>
        <w:ind w:left="420"/>
      </w:pPr>
      <w:r>
        <w:t xml:space="preserve">2. der nicht Vertragsstaat des Abkommens über den Europäischen Wirtschaftsraum ist.</w:t>
      </w:r>
    </w:p>
    <w:p>
      <w:r>
        <w:t xml:space="preserve">(18) E-Geld im Sinne dieses Gesetzes ist E-Geld nach § 1 Absatz 2 Satz 3 und 4 des Zahlungsdiensteaufsichtsgesetzes.</w:t>
      </w:r>
    </w:p>
    <w:p>
      <w:r>
        <w:t xml:space="preserve">(19) Aufsichtsbehörde im Sinne dieses Gesetzes ist die zuständige Aufsichtsbehörde nach § 50.</w:t>
      </w:r>
    </w:p>
    <w:p>
      <w:r>
        <w:t xml:space="preserve">(20) Die Zuverlässigkeit eines Mitarbeiters im Sinne dieses Gesetzes liegt vor, wenn der Mitarbeiter die Gewähr dafür bietet, dass er</w:t>
      </w:r>
    </w:p>
    <w:p>
      <w:pPr>
        <w:ind w:left="420"/>
      </w:pPr>
      <w:r>
        <w:t xml:space="preserve">1. die in diesem Gesetz geregelten Pflichten, sonstige geldwäscherechtliche Pflichten und die beim Verpflichteten eingeführten Strategien, Kontrollen und Verfahren zur Verhinderung von Geldwäsche und von Terrorismusfinanzierung sorgfältig beachtet,</w:t>
      </w:r>
    </w:p>
    <w:p>
      <w:pPr>
        <w:ind w:left="420"/>
      </w:pPr>
      <w:r>
        <w:t xml:space="preserve">2. Tatsachen nach § 43 Absatz 1 dem Vorgesetzten oder dem Geldwäschebeauftragten, sofern ein Geldwäschebeauftragter bestellt ist, meldet und</w:t>
      </w:r>
    </w:p>
    <w:p>
      <w:pPr>
        <w:ind w:left="420"/>
      </w:pPr>
      <w:r>
        <w:t xml:space="preserve">3. sich weder aktiv noch passiv an zweifelhaften Transaktionen oder Geschäftsbeziehungen beteiligt.</w:t>
      </w:r>
    </w:p>
    <w:p>
      <w:r>
        <w:t xml:space="preserve">(21) Korrespondenzbeziehung im Sinne dieses Gesetzes ist eine Geschäftsbeziehung, in deren Rahmen folgende Leistungen erbracht werden:</w:t>
      </w:r>
    </w:p>
    <w:p>
      <w:pPr>
        <w:ind w:left="420"/>
      </w:pPr>
      <w:r>
        <w:t xml:space="preserve">1. Bankdienstleistungen, wie die Unterhaltung eines Kontokorrent- oder eines anderen Zahlungskontos und die Erbringung damit verbundener Leistungen wie die Verwaltung von Barmitteln, die Durchführung von internationalen Geldtransfers oder Devisengeschäften und die Vornahme von Scheckverrechnungen, durch Verpflichtete nach § 2 Absatz 1 Nummer 1 (Korrespondenten) für CRR-Kreditinstitute oder für Unternehmen in einem Drittstaat, die Tätigkeiten ausüben, die denen solcher Kreditinstitute gleichwertig sind (Respondenten), oder</w:t>
      </w:r>
    </w:p>
    <w:p>
      <w:pPr>
        <w:ind w:left="420"/>
      </w:pPr>
      <w:r>
        <w:t xml:space="preserve">2. ähnliche Dienstleistungen, soweit diese Leistungen nach den jeweiligen gesetzlichen Vorschriften durch Verpflichtete nach § 2 Absatz 1 Nummer 1 bis 3 und 6 bis 9 (Korrespondenten) erbracht werden dürfen für folgende Respondenten:</w:t>
      </w:r>
    </w:p>
    <w:p>
      <w:pPr>
        <w:ind w:left="780"/>
      </w:pPr>
      <w:r>
        <w:t xml:space="preserve">a) andere CRR-Kreditinstitute oder Finanzinstitute im Sinne des Artikels 3 Nummer 2 der Richtlinie (EU) 2015/849 oder</w:t>
      </w:r>
    </w:p>
    <w:p>
      <w:pPr>
        <w:ind w:left="780"/>
      </w:pPr>
      <w:r>
        <w:t xml:space="preserve">b) Unternehmen oder Personen in einem Drittstaat, die Tätigkeiten ausüben, die denen solcher Kreditinstitute oder Finanzinstitute gleichwertig sind.</w:t>
      </w:r>
    </w:p>
    <w:p>
      <w:pPr>
        <w:ind w:left="420"/>
      </w:pPr>
      <w:r>
        <w:t xml:space="preserve">Davon umfasst sind insbesondere Beziehungen, die für Wertpapiergeschäfte oder Geldtransfers aufgenommen wurden.</w:t>
      </w:r>
    </w:p>
    <w:p>
      <w:r>
        <w:t xml:space="preserve">(22) Bank-Mantelgesellschaft im Sinne dieses Gesetzes ist</w:t>
      </w:r>
    </w:p>
    <w:p>
      <w:pPr>
        <w:ind w:left="420"/>
      </w:pPr>
      <w:r>
        <w:t xml:space="preserve">1. ein CRR-Kreditinstitut oder ein Finanzinstitut nach Artikel 3 Nummer 2 der Richtlinie (EU) 2015/849 oder</w:t>
      </w:r>
    </w:p>
    <w:p>
      <w:pPr>
        <w:ind w:left="420"/>
      </w:pPr>
      <w:r>
        <w:t xml:space="preserve">2. ein Unternehmen,</w:t>
      </w:r>
    </w:p>
    <w:p>
      <w:pPr>
        <w:ind w:left="780"/>
      </w:pPr>
      <w:r>
        <w:t xml:space="preserve">a) das Tätigkeiten ausübt, die denen eines solchen Kreditinstituts oder Finanzinstituts gleichwertig sind, und das in einem Land in ein Handelsregister oder ein vergleichbares Register eingetragen ist, in dem die tatsächliche Leitung und Verwaltung nicht erfolgen, und</w:t>
      </w:r>
    </w:p>
    <w:p>
      <w:pPr>
        <w:ind w:left="780"/>
      </w:pPr>
      <w:r>
        <w:t xml:space="preserve">b) das keiner regulierten Gruppe von Kredit- oder Finanzinstituten angeschlossen ist.</w:t>
      </w:r>
    </w:p>
    <w:p>
      <w:r>
        <w:t xml:space="preserve">(23) Kunstvermittler im Sinne dieses Gesetzes ist, wer gewerblich den Abschluss von Kaufverträgen über Kunstgegenstände vermittelt, auch als Auktionator oder Galerist. Kunstlagerhalter im Sinne dieses Gesetzes ist, wer gewerblich Kunstgegenstände lagert. Unerheblich ist, in wessen Namen oder auf wessen Rechnung die Tätigkeit nach Satz 1 oder 2 erfolgt.</w:t>
      </w:r>
    </w:p>
    <w:p>
      <w:r>
        <w:t xml:space="preserve">(24) Finanzunternehmen im Sinne dieses Gesetzes ist ein Unternehmen, dessen Haupttätigkeit darin besteht,</w:t>
      </w:r>
    </w:p>
    <w:p>
      <w:pPr>
        <w:ind w:left="420"/>
      </w:pPr>
      <w:r>
        <w:t xml:space="preserve">1. Beteiligungen zu erwerben, zu halten oder zu veräußern,</w:t>
      </w:r>
    </w:p>
    <w:p>
      <w:pPr>
        <w:ind w:left="420"/>
      </w:pPr>
      <w:r>
        <w:t xml:space="preserve">2. Geldforderungen mit Finanzierungsfunktion entgeltlich zu erwerben,</w:t>
      </w:r>
    </w:p>
    <w:p>
      <w:pPr>
        <w:ind w:left="420"/>
      </w:pPr>
      <w:r>
        <w:t xml:space="preserve">3. mit Finanzinstrumenten auf eigene Rechnung zu handeln,</w:t>
      </w:r>
    </w:p>
    <w:p>
      <w:pPr>
        <w:ind w:left="420"/>
      </w:pPr>
      <w:r>
        <w:t xml:space="preserve">4. Finanzanlagenvermittler nach § 34f Absatz 1 Satz 1 der Gewerbeordnung und Honorar-Finanzanlagenberater nach § 34h Absatz 1 Satz 1 der Gewerbeordnung zu sein, es sei denn, die Vermittlung oder Beratung bezieht sich ausschließlich auf Anlagen, die von Verpflichteten nach diesem Gesetz vertrieben oder emittiert werden,</w:t>
      </w:r>
    </w:p>
    <w:p>
      <w:pPr>
        <w:ind w:left="420"/>
      </w:pPr>
      <w:r>
        <w:t xml:space="preserve">5. Unternehmen über die Kapitalstruktur, die industrielle Strategie und die damit verbundenen Fragen zu beraten sowie bei Zusammenschlüssen und Übernahmen von Unternehmen diese Unternehmen zu beraten und ihnen Dienstleistungen anzubieten oder</w:t>
      </w:r>
    </w:p>
    <w:p>
      <w:pPr>
        <w:ind w:left="420"/>
      </w:pPr>
      <w:r>
        <w:t xml:space="preserve">6. Darlehen zwischen Kreditinstituten zu vermitteln (Geldmaklergeschäfte).</w:t>
      </w:r>
    </w:p>
    <w:p>
      <w:r>
        <w:t xml:space="preserve">Holdinggesellschaften, die ausschließlich Beteiligungen an Unternehmen außerhalb des Kreditinstituts-, Finanzinstituts- und Versicherungssektors halten und die nicht über die mit der Verwaltung des Beteiligungsbesitzes verbundenen Aufgaben hinaus unternehmerisch tätig sind, sind keine Finanzunternehmen im Sinne dieses Gesetzes.</w:t>
      </w:r>
    </w:p>
    <w:p>
      <w:r>
        <w:t xml:space="preserve">(25) Mutterunternehmen im Sinne dieses Gesetzes ist ein Unternehmen, dem mindestens ein anderes Unternehmen nach Absatz 16 Nummer 2 bis 4 nachgeordnet ist, und dem kein anderes Unternehmen übergeordnet ist.</w:t>
      </w:r>
    </w:p>
    <w:p>
      <w:r>
        <w:t xml:space="preserve">(26) Finanzinformationen im Sinne dieses Gesetzes sind alle Arten von Informationen oder Daten, insbesondere Daten über finanzielle Vermögenswerte, Geldbewegungen oder finanzgeschäftliche Beziehungen, die bereits bei der Zentralstelle für Finanztransaktionsuntersuchungen oder anderen zentralen Meldestellen im Sinne des Artikels 32 der Richtlinie (EU) 2015/849 vorhanden sind, um Geldwäsche und Terrorismusfinanzierung zu verhüten, aufzudecken und zu bekämpfen.</w:t>
      </w:r>
    </w:p>
    <w:p>
      <w:r>
        <w:t xml:space="preserve">(27) Finanzanalyse im Sinne dieses Gesetzes ist das Ergebnis der von der Zentralstelle für Finanztransaktionsuntersuchungen oder einer anderen zentralen Meldestelle im Sinne des Artikel 32 der Richtlinie (EU) 2015/849 für die Erfüllung ihrer Aufgaben nach der Richtlinie (EU) 2015/849 bereits durchgeführten operativen und strategischen Analyse.</w:t>
      </w:r>
    </w:p>
    <w:p>
      <w:r>
        <w:t xml:space="preserve">(28) Die Bezeichnung</w:t>
      </w:r>
    </w:p>
    <w:p>
      <w:pPr>
        <w:ind w:left="420"/>
      </w:pPr>
      <w:r>
        <w:t xml:space="preserve">1. Richtlinie (EU) 2015/849 bezeichnet die Richtlinie (EU) 2015/849 des Europäischen Parlamentes und des Rates vom 20. Mai 2015 zur Verhinderung der Nutzung des Finanzsystems zum Zweck der Geldwäsche und der Terrorismusfinanzierung, zur Änderung der Verordnung (EU) Nr. 648/2012 des Europäischen Parlaments und des Rates und zur Aufhebung der Richtlinie 2005/60/EG des Europäischen Parlaments und des Rates und der Richtlinie 2006/70/EG der Kommission, die zuletzt durch die Richtlinie (EU) 2018/843 des Europäischen Parlamentes und des Rates vom 30. Mai 2018 zur Änderung der Richtlinie (EU) 2015/849 zur Verhinderung der Nutzung des Finanzsystems zum Zweck der Geldwäsche und der Terrorismusfinanzierung und zur Änderung der Richtlinien 2009/138/EG und 2013/36/EU geändert worden ist;</w:t>
      </w:r>
    </w:p>
    <w:p>
      <w:pPr>
        <w:ind w:left="420"/>
      </w:pPr>
      <w:r>
        <w:t xml:space="preserve">2. Richtlinie (EU) 2019/1153 bezeichnet die Richtlinie (EU) 2019/1153 des Europäischen Parlamentes und des Rates vom 20. Juni 2019 zur Festlegung von Vorschriften zur Erleichterung der Nutzung von Finanz- und sonstigen Informationen für die Verhütung, Aufdeckung, Untersuchung oder Verfolgung bestimmter Straftaten und zur Aufhebung des Beschlusses 2000/642/JI des Rates;</w:t>
      </w:r>
    </w:p>
    <w:p>
      <w:pPr>
        <w:ind w:left="420"/>
      </w:pPr>
      <w:r>
        <w:t xml:space="preserve">3. Verordnung (EU) 2016/794 bezeichnet die Verordnung (EU) 2016/794 des Europäischen Parlamentes und des Rates vom 11. Mai 2016 über die Agentur der Europäischen Union für die Zusammenarbeit auf dem Gebiet der Strafverfolgung (Europol) und zur Ersetzung und Aufhebung der Beschlüsse 2009/371/JI, 2009/934/JI, 2009/935/JI, 2009/936/JI und 2009/968/JI;</w:t>
      </w:r>
    </w:p>
    <w:p>
      <w:pPr>
        <w:ind w:left="420"/>
      </w:pPr>
      <w:r>
        <w:t xml:space="preserve">4. Verordnung (EU) 2023/1113 bezeichnet die Verordnung (EU) 2023/1113 des Europäischen Parlaments und des Rates vom 31. Mai 2023 über die Übermittlung von Angaben bei Geldtransfers und Transfers bestimmter Kryptowerte und zur Änderung der Richtlinie (EU) 2015/849 (ABl. L 150 vom 9.6.2023, S. 1);</w:t>
      </w:r>
    </w:p>
    <w:p>
      <w:pPr>
        <w:ind w:left="420"/>
      </w:pPr>
      <w:r>
        <w:t xml:space="preserve">5. Verordnung (EU) 2023/1114 bezeichnet die Verordnung (EU) 2023/1114 des Europäischen Parlaments und des Rates vom 31. Mai 2023 über Märkte für Kryptowerte und zur Änderung der Verordnungen (EU) Nr. 1093/2010 und (EU) Nr. 1095/2010 sowie der Richtlinien 2013/36/EU und (EU) 2019/1937 (ABl. L 150 vom 9.6.2023, S. 40).</w:t>
      </w:r>
    </w:p>
    <w:p>
      <w:r>
        <w:t xml:space="preserve">(29) Kryptowerte im Sinne dieses Gesetzes sind Kryptowerte im Sinne des Artikels 3 Nummer 14 der Verordnung (EU) 2023/1113.</w:t>
      </w:r>
    </w:p>
    <w:p>
      <w:r>
        <w:t xml:space="preserve">(30) Kryptowertetransfer im Sinne dieses Gesetzes ist jeder Kryptowertetransfer im Sinne des Artikels 3 Nummer 10 der Verordnung (EU) 2023/1113.</w:t>
      </w:r>
    </w:p>
    <w:p>
      <w:r>
        <w:t xml:space="preserve">(31) Anbieter von Kryptowerte-Dienstleistungen im Sinne dieses Gesetzes sind Anbieter von Kryptowerte-Dienstleistungen im Sinne des Artikels 3 Absatz 1 Nummer 15 der Verordnung (EU) 2023/1114, wenn sie eine oder mehrere Kryptowerte-Dienstleistungen im Sinne des Artikels 3 Absatz 1 Nummer 16 der Verordnung (EU) 2023/1114 erbringen, mit Ausnahme der Beratung zu Kryptowerten im Sinne des Artikels 3 Absatz 1 Nummer 16 Buchstabe h der Verordnung (EU) 2023/1114.</w:t>
      </w:r>
    </w:p>
    <w:p>
      <w:r>
        <w:t xml:space="preserve">(32) Emittenten vermögenswertreferenzierter Token im Sinne dieses Gesetzes sind Emittenten vermögenswertreferenzierter Token nach Artikel 16 Absatz 1 Buchstabe a der Verordnung (EU) 2023/1114, die vermögenswertreferenzierte Token nicht ausschließlich über einen Anbieter von Kryptowerte-Dienstleistungen öffentlich anbieten oder die deren Zulassung zum Handel nicht ausschließlich über einen Anbieter von Kryptowerte-Dienstleistungen beantragen.</w:t>
      </w:r>
    </w:p>
    <w:p>
      <w:r>
        <w:t xml:space="preserve">(33) Selbst gehostete Adresse im Sinne dieses Gesetzes ist eine selbst gehostete Adresse im Sinne des Artikels 3 Nummer 20 der Verordnung (EU) 2023/1113.</w:t>
      </w:r>
    </w:p>
    <w:p>
      <w:r>
        <w:rPr>
          <w:color w:val="555555"/>
          <w:sz w:val="17"/>
        </w:rPr>
        <w:t xml:space="preserve">Zitiervorschlag: § 1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