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GvKostG — Vorschuss</w:t>
      </w:r>
    </w:p>
    <w:p>
      <w:r>
        <w:rPr>
          <w:color w:val="555555"/>
          <w:sz w:val="18"/>
        </w:rPr>
        <w:t xml:space="preserve">Gerichtsvollzieherkostengesetz</w:t>
      </w:r>
    </w:p>
    <w:p>
      <w:r>
        <w:rPr>
          <w:color w:val="555555"/>
          <w:sz w:val="18"/>
        </w:rPr>
        <w:t xml:space="preserve">Stand: 10.06.2019 (konsolidierte Textfassung, kein amtliches Inkrafttretensdatum)</w:t>
      </w:r>
    </w:p>
    <w:p>
      <w:r>
        <w:t xml:space="preserve">(1) Der Auftraggeber ist zur Zahlung eines Vorschusses verpflichtet, der die voraussichtlich entstehenden Kosten deckt. Die Durchführung des Auftrags kann von der Zahlung des Vorschusses abhängig gemacht werden. Die Sätze 1 und 2 gelten nicht, wenn der Auftrag vom Gericht erteilt wird oder dem Auftraggeber Prozess- oder Verfahrenskostenhilfe bewilligt ist. Sie gelten ferner nicht für die Erhebung von Gebührenvorschüssen, wenn aus einer Entscheidung eines Gerichts für Arbeitssachen oder aus einem vor diesem Gericht abgeschlossenen Vergleich zu vollstrecken ist.</w:t>
      </w:r>
    </w:p>
    <w:p>
      <w:r>
        <w:t xml:space="preserve">(2) Reicht ein Vorschuss nicht aus, um die zur Aufrechterhaltung einer Vollstreckungsmaßnahme voraussichtlich erforderlichen Auslagen zu decken, gilt Absatz 1 entsprechend. In diesem Fall ist der Auftraggeber zur Leistung eines weiteren Vorschusses innerhalb einer Frist von mindestens zwei Wochen aufzufordern. Nach Ablauf der Frist kann der Gerichtsvollzieher die Vollstreckungsmaßnahme aufheben, wenn die Aufforderung verbunden mit einem Hinweis auf die Folgen der Nichtzahlung nach den Vorschriften der Zivilprozessordnung zugestellt worden ist und die geforderte Zahlung nicht bei dem Gerichtsvollzieher eingegangen ist.</w:t>
      </w:r>
    </w:p>
    <w:p>
      <w:r>
        <w:t xml:space="preserve">(3) In den Fällen des § 3 Abs. 4 Satz 2 bis 5 bleibt die Verpflichtung zur Zahlung der vorzuschießenden Beträge bestehen.</w:t>
      </w:r>
    </w:p>
    <w:p>
      <w:r>
        <w:rPr>
          <w:color w:val="555555"/>
          <w:sz w:val="17"/>
        </w:rPr>
        <w:t xml:space="preserve">Zitiervorschlag: § 4 GvKostG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https://recht.nulegal.eu/gesetze/GvKostG/4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