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GvKostG — Übergangsvorschrift aus Anlass des Inkrafttretens dieses Gesetzes</w:t>
      </w:r>
    </w:p>
    <w:p>
      <w:r>
        <w:rPr>
          <w:color w:val="555555"/>
          <w:sz w:val="18"/>
        </w:rPr>
        <w:t xml:space="preserve">Gerichtsvollzieherkostengesetz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Kosten sind vorbehaltlich des Absatzes 2 nach dem Gesetz über Kosten der Gerichtsvollzieher in der im Bundesgesetzblatt Teil III, Gliederungsnummer 362-1, veröffentlichten bereinigten Fassung, zuletzt geändert durch Artikel 2 Abs. 5 des Gesetzes vom 17. Dezember 1997 (BGBl. I S. 3039), zu erheben, wenn der Auftrag vor dem Inkrafttreten dieses Gesetzes erteilt worden ist; § 3 Abs. 3 Satz 1 und § 18 Abs. 1 Satz 2 sind anzuwenden. Werden solche Aufträge und Aufträge, die nach dem Inkrafttreten dieses Gesetzes erteilt worden sind, durch dieselbe Amtshandlung erledigt, sind die Gebühren insoweit gesondert zu erheben.</w:t>
      </w:r>
    </w:p>
    <w:p>
      <w:r>
        <w:t xml:space="preserve">(2) Kosten der in § 15 Abs. 1 genannten Art sind nach neuem Recht zu erheben, soweit sie nach dem Inkrafttreten dieses Gesetzes entstanden sind.</w:t>
      </w:r>
    </w:p>
    <w:p>
      <w:r>
        <w:rPr>
          <w:color w:val="555555"/>
          <w:sz w:val="17"/>
        </w:rPr>
        <w:t xml:space="preserve">Zitiervorschlag: § 19 GvKostG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https://recht.nulegal.eu/gesetze/GvKostG/19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