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GvKostG — Übergangsvorschrift</w:t>
      </w:r>
    </w:p>
    <w:p>
      <w:r>
        <w:rPr>
          <w:color w:val="555555"/>
          <w:sz w:val="18"/>
        </w:rPr>
        <w:t xml:space="preserve">Gerichtsvollzieherkostengesetz</w:t>
      </w:r>
    </w:p>
    <w:p>
      <w:r>
        <w:rPr>
          <w:color w:val="555555"/>
          <w:sz w:val="18"/>
        </w:rPr>
        <w:t xml:space="preserve">Stand: 10.06.2019 (konsolidierte Textfassung, kein amtliches Inkrafttretensdatum)</w:t>
      </w:r>
    </w:p>
    <w:p>
      <w:r>
        <w:t xml:space="preserve">(1) Die Kosten sind nach bisherigem Recht zu erheben, wenn der Auftrag vor dem Inkrafttreten einer Gesetzesänderung erteilt worden ist, Kosten der in § 15 Abs. 1 genannten Art jedoch nur, wenn sie vor dem Inkrafttreten einer Gesetzesänderung entstanden sind. Wenn der Auftrag zur Abnahme der Vermögensauskunft mit einem Vollstreckungsauftrag verbunden ist, ist der Zeitpunkt maßgebend, zu dem der Vollstreckungsauftrag erteilt ist.</w:t>
      </w:r>
    </w:p>
    <w:p>
      <w:r>
        <w:t xml:space="preserve">(2) Absatz 1 gilt auch, wenn Vorschriften geändert werden, auf die dieses Gesetz verweist.</w:t>
      </w:r>
    </w:p>
    <w:p>
      <w:r>
        <w:rPr>
          <w:color w:val="555555"/>
          <w:sz w:val="17"/>
        </w:rPr>
        <w:t xml:space="preserve">Zitiervorschlag: § 18 GvKostG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https://recht.nulegal.eu/gesetze/GvKostG/18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