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GvKostG — Entnahmerecht</w:t>
      </w:r>
    </w:p>
    <w:p>
      <w:r>
        <w:rPr>
          <w:color w:val="555555"/>
          <w:sz w:val="18"/>
        </w:rPr>
        <w:t xml:space="preserve">Gerichtsvollzieherkostengesetz</w:t>
      </w:r>
    </w:p>
    <w:p>
      <w:r>
        <w:rPr>
          <w:color w:val="555555"/>
          <w:sz w:val="18"/>
        </w:rPr>
        <w:t xml:space="preserve">Stand: 10.06.2019 (konsolidierte Textfassung, kein amtliches Inkrafttretensdatum)</w:t>
      </w:r>
    </w:p>
    <w:p>
      <w:r>
        <w:t xml:space="preserve">(1) Kosten, die im Zusammenhang mit der Versteigerung oder dem Verkauf von beweglichen Sachen, von Früchten, die vom Boden noch nicht getrennt sind, sowie von Forderungen oder anderen Vermögensrechten, ferner bei der öffentlichen Verpachtung an den Meistbietenden und bei der Mitwirkung bei einer Versteigerung durch einen Dritten (§ 825 Abs. 2 der Zivilprozessordnung) entstehen, können dem Erlös vorweg entnommen werden. Dies gilt auch für die Kosten der Entfernung von Pfandstücken aus dem Gewahrsam des Schuldners, des Gläubigers oder eines Dritten, ferner für die Kosten des Transports und der Lagerung.</w:t>
      </w:r>
    </w:p>
    <w:p>
      <w:r>
        <w:t xml:space="preserve">(2) Andere als die in Absatz 1 genannten Kosten oder ein hierauf zu zahlender Vorschuss können bei der Ablieferung von Geld an den Auftraggeber oder bei der Hinterlegung von Geld für den Auftraggeber entnommen werden.</w:t>
      </w:r>
    </w:p>
    <w:p>
      <w:r>
        <w:t xml:space="preserve">(3) Die Absätze 1 und 2 gelten nicht, soweit § 459b der Strafprozessordnung oder § 94 des Gesetzes über Ordnungswidrigkeiten entgegensteht. Sie gelten ferner nicht, wenn dem Auftraggeber Prozess- oder Verfahrenskostenhilfe bewilligt ist. Bei mehreren Auftraggebern stehen die Sätze 1 und 2 einer Vorwegentnahme aus dem Erlös (Absatz 1) nicht entgegen, wenn deren Voraussetzungen nicht für alle Auftraggeber vorliegen. Die Sätze 1 und 2 stehen einer Entnahme aus dem Erlös auch nicht entgegen, wenn der Erlös höher ist als die Summe der Forderungen aller Auftraggeber.</w:t>
      </w:r>
    </w:p>
    <w:p>
      <w:r>
        <w:rPr>
          <w:color w:val="555555"/>
          <w:sz w:val="17"/>
        </w:rPr>
        <w:t xml:space="preserve">Zitiervorschlag: § 15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