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GvKostG — Kostenschuldner</w:t>
      </w:r>
    </w:p>
    <w:p>
      <w:r>
        <w:rPr>
          <w:color w:val="555555"/>
          <w:sz w:val="18"/>
        </w:rPr>
        <w:t xml:space="preserve">Gerichtsvollzieherkostengesetz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Kostenschuldner sind</w:t>
      </w:r>
    </w:p>
    <w:p>
      <w:pPr>
        <w:ind w:left="420"/>
      </w:pPr>
      <w:r>
        <w:t xml:space="preserve">1. der Auftraggeber,</w:t>
      </w:r>
    </w:p>
    <w:p>
      <w:pPr>
        <w:ind w:left="420"/>
      </w:pPr>
      <w:r>
        <w:t xml:space="preserve">2. der Vollstreckungsschuldner für die notwendigen Kosten der Zwangsvollstreckung und</w:t>
      </w:r>
    </w:p>
    <w:p>
      <w:pPr>
        <w:ind w:left="420"/>
      </w:pPr>
      <w:r>
        <w:t xml:space="preserve">3. der Verpflichtete für die notwendigen Kosten der Vollstreckung.</w:t>
      </w:r>
    </w:p>
    <w:p>
      <w:r>
        <w:t xml:space="preserve">Schuldner der Auslagen nach den Nummern 714 und 715 des Kostenverzeichnisses ist nur der Ersteher.</w:t>
      </w:r>
    </w:p>
    <w:p>
      <w:r>
        <w:t xml:space="preserve">(2) Mehrere Kostenschuldner haften als Gesamtschuldner.</w:t>
      </w:r>
    </w:p>
    <w:p>
      <w:r>
        <w:t xml:space="preserve">(3) Wird der Auftrag vom Gericht erteilt, so gelten die Kosten als Auslagen des gerichtlichen Verfahrens.</w:t>
      </w:r>
    </w:p>
    <w:p>
      <w:r>
        <w:rPr>
          <w:color w:val="555555"/>
          <w:sz w:val="17"/>
        </w:rPr>
        <w:t xml:space="preserve">Zitiervorschlag: § 13 GvKostG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https://recht.nulegal.eu/gesetze/GvKostG/13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