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GvKostG — Geltungsbereich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Tätigkeit des Gerichtsvollziehers, für die er nach Bundes- oder Landesrecht sachlich zuständig ist, werden Kosten (Gebühren und Auslagen) nur nach diesem Gesetz erhoben.</w:t>
      </w:r>
    </w:p>
    <w:p>
      <w:r>
        <w:t xml:space="preserve">(2) Landesrechtliche Vorschriften über die Kosten der Vollstreckung im Verwaltungszwangsverfahren bleiben unberührt.</w:t>
      </w:r>
    </w:p>
    <w:p>
      <w:r>
        <w:rPr>
          <w:color w:val="555555"/>
          <w:sz w:val="17"/>
        </w:rPr>
        <w:t xml:space="preserve">Zitiervorschlag: § 1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https://recht.nulegal.eu/gesetze/GvKostG/1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