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GuAMKflAusbV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Groß-und-Außenhandelsmanagement-Kaufleute-Ausbildungsverordnung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Die Bewertungen der einzelnen Prüfungsbereiche sind in der Fachrichtung Außenhandel wie folgt zu gewichten:</w:t>
      </w:r>
    </w:p>
    <w:p>
      <w:r>
        <w:rPr>
          <w:rFonts w:ascii="Courier New" w:hAnsi="Courier New"/>
          <w:sz w:val="17"/>
        </w:rPr>
        <w:t xml:space="preserve">Organisieren des Warensortiments und von Dienstleistungen    mit 25 Prozent,</w:t>
      </w:r>
    </w:p>
    <w:p>
      <w:r>
        <w:rPr>
          <w:rFonts w:ascii="Courier New" w:hAnsi="Courier New"/>
          <w:sz w:val="17"/>
        </w:rPr>
        <w:t xml:space="preserve">Kaufmännische Steuerung von Geschäftsprozessen    mit 15 Prozent,</w:t>
      </w:r>
    </w:p>
    <w:p>
      <w:r>
        <w:rPr>
          <w:rFonts w:ascii="Courier New" w:hAnsi="Courier New"/>
          <w:sz w:val="17"/>
        </w:rPr>
        <w:t xml:space="preserve">Prozessorientierte Organisation von Außenhandelsgeschäften    mit 30 Prozent,</w:t>
      </w:r>
    </w:p>
    <w:p>
      <w:r>
        <w:rPr>
          <w:rFonts w:ascii="Courier New" w:hAnsi="Courier New"/>
          <w:sz w:val="17"/>
        </w:rPr>
        <w:t xml:space="preserve">Fallbezogenes Fachgespräch zu einer betrieblichen Fachaufgabe im Außenhandel    mit 20 Prozent sowie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5. (2) Die Abschlussprüfung ist bestanden, wenn die Prüfungsleistungen – auch unter Berücksichtigung einer mündlichen Ergänzungsprüfung nach § 24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in mindestens drei Prüfungsbereichen von Teil 2 mit mindestens „ausreichend“ und</w:t>
      </w:r>
    </w:p>
    <w:p>
      <w:pPr>
        <w:ind w:left="420"/>
      </w:pPr>
      <w:r>
        <w:t xml:space="preserve">4. in keinem Prüfungsbereich von Teil 2 mit „ungenügend“.</w:t>
      </w:r>
    </w:p>
    <w:p>
      <w:r>
        <w:rPr>
          <w:color w:val="555555"/>
          <w:sz w:val="17"/>
        </w:rPr>
        <w:t xml:space="preserve">Zitiervorschlag: § 23 GuAMKflAusbV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https://recht.nulegal.eu/gesetze/GuAMKflAusbV/23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