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Auseinandersetzungsverfahren wird von der Auseinandersetzungsbehörde durch Beschluß angeordnet; der Beschluß ist zu begründen. § 5 Abs. 1 und 2 des Flurbereinigungsgesetzes finden keine Anwendung.</w:t>
      </w:r>
    </w:p>
    <w:p>
      <w:r>
        <w:t xml:space="preserve">(2) Der Antrag auf Gemeinheitsteilung soll zurückgewiesen werden, wenn der Antragsteller nicht glaubhaft dartut, daß die Gemeinheitsteilung sich verwirklichen läßt. Die Zurückweisung des Antrages ist zu begründen; sie ist dem Antragsteller bekanntzumachen.</w:t>
      </w:r>
    </w:p>
    <w:p>
      <w:r>
        <w:rPr>
          <w:color w:val="555555"/>
          <w:sz w:val="17"/>
        </w:rPr>
        <w:t xml:space="preserve">Zitiervorschlag: § 6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