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GtG (Nordrhein-Westfalen)</w:t>
      </w:r>
    </w:p>
    <w:p>
      <w:r>
        <w:rPr>
          <w:color w:val="555555"/>
          <w:sz w:val="18"/>
        </w:rPr>
        <w:t xml:space="preserve">Gemeinheitsteilungsgesetz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die Teilung und Ablösung (Gemeinheitsteilung), das hierbei stattfindende Verfahren und das Kostenwesen sind das Flurbereinigungsgesetz vom 16. März 1976 (BGBl. I S. 546), das Ausführungsgesetz zum Flurbereinigungsgesetz vom 8. Dezember 1953 (GS. NW. S. 739) und das Gesetz über Kosten- und Abgabenfreiheit in Flurbereinigungs- und Siedlungsverfahren sowie im Kleingartenwesen in der Fassung der Bekanntmachung vom 18. Dezember 1984 (GV. NRW. S. 806) sinngemäß anzuwenden, soweit dieses Gesetz nichts Abweichendes bestimmt.</w:t>
      </w:r>
    </w:p>
    <w:p>
      <w:r>
        <w:rPr>
          <w:color w:val="555555"/>
          <w:sz w:val="17"/>
        </w:rPr>
        <w:t xml:space="preserve">Zitiervorschlag: § 2 GtG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https://recht.nulegal.eu/gesetze/GtG/2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