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GtG (Nordrhein-Westfalen)</w:t>
      </w:r>
    </w:p>
    <w:p>
      <w:r>
        <w:rPr>
          <w:color w:val="555555"/>
          <w:sz w:val="18"/>
        </w:rPr>
        <w:t xml:space="preserve">Gemeinheitsteilungsgesetz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Verfahren über die Ablösung von Reallasten richtet sich nach den für die Gemeinheitsteilung maßgebenden Vorschriften.</w:t>
      </w:r>
    </w:p>
    <w:p>
      <w:r>
        <w:t xml:space="preserve">Dritter Abschnitt</w:t>
      </w:r>
    </w:p>
    <w:p>
      <w:r>
        <w:t xml:space="preserve">Gemeindegliedervermögen</w:t>
      </w:r>
    </w:p>
    <w:p>
      <w:r>
        <w:rPr>
          <w:color w:val="555555"/>
          <w:sz w:val="17"/>
        </w:rPr>
        <w:t xml:space="preserve">Zitiervorschlag: § 18 GtG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https://recht.nulegal.eu/gesetze/GtG/18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