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Vorschriften des Flurbereinigungsgesetzes über das Rechtsmittelverfahren (§§ 138 bis 148 des Flurbereinigungsgesetzes) finden keine Anwendung.</w:t>
      </w:r>
    </w:p>
    <w:p>
      <w:r>
        <w:t xml:space="preserve">(2) Über Widersprüche gegen die Ergebnisse der Schätzung und den Auseinandersetzungsplan entscheidet die Spruchstelle für Flurbereinigung (§§ 2 ff. des Ausführungsgesetzes zum Flurbereinigungsgesetz).</w:t>
      </w:r>
    </w:p>
    <w:p>
      <w:r>
        <w:rPr>
          <w:color w:val="555555"/>
          <w:sz w:val="17"/>
        </w:rPr>
        <w:t xml:space="preserve">Zitiervorschlag: § 14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