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Abfindungen in Land sollen nur ausgewiesen werden, soweit hierdurch Grundstücke nicht unwirtschaftlich verkleinert oder aufgeteilt werden.</w:t>
      </w:r>
    </w:p>
    <w:p>
      <w:r>
        <w:t xml:space="preserve">(2) Teilnehmer, die nach Absatz 1 nicht in Land abgefunden werden können, sind für den entstandenen Rechtsverlust in Geld zu entschädigen,</w:t>
      </w:r>
    </w:p>
    <w:p>
      <w:r>
        <w:t xml:space="preserve">1. wenn sie mit einer Geldentschädigung einverstanden sind oder</w:t>
      </w:r>
    </w:p>
    <w:p>
      <w:r>
        <w:t xml:space="preserve">2. wenn die Gemeinheitsteilung im landeskulturellen Interesse geboten ist.</w:t>
      </w:r>
    </w:p>
    <w:p>
      <w:r>
        <w:t xml:space="preserve">Liegen diese Voraussetzungen nicht vor, ist das Verfahren einzustellen.</w:t>
      </w:r>
    </w:p>
    <w:p>
      <w:r>
        <w:rPr>
          <w:color w:val="555555"/>
          <w:sz w:val="17"/>
        </w:rPr>
        <w:t xml:space="preserve">Zitiervorschlag: § 12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