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Aufstellung des Wege- und Gewässerplanes (§ 41 des Flurbereinigungsgesetzes) kann abgesehen werden.</w:t>
      </w:r>
    </w:p>
    <w:p>
      <w:r>
        <w:t xml:space="preserve">(2) Die Herstellung der gemeinschaftlichen Anlagen ist eine gemeinschaftliche Angelegenheit der Teilnehmer, soweit nicht ein anderer die Herstellung übernimmt. Die gemeinschaftlichen Anlagen sind durch den Auseinandersetzungsplan (Flurbereinigungsplan) den jeweiligen Eigentümern der Grundstücke, deren Interesse sie dienen, zu gemeinschaftlichem Eigentum zuzuteilen und von ihnen zu unterhalten, soweit nicht der Auseinandersetzungsplan oder gesetzliche Vorschriften anderes vorschreiben.</w:t>
      </w:r>
    </w:p>
    <w:p>
      <w:r>
        <w:t xml:space="preserve">(3) Den für die gemeinschaftlichen Anlagen benötigten Grund und Boden haben die Teilnehmer nach dem Verhältnis ihrer Teilnahmerechte aufzubringen. Wenn ein Teilnehmer auf Abfindung in Land verzichtet, ist er nicht zur Aufbringung von Grund und Boden für die gemeinschaftlichen Anlagen heranzuziehen.</w:t>
      </w:r>
    </w:p>
    <w:p>
      <w:r>
        <w:rPr>
          <w:color w:val="555555"/>
          <w:sz w:val="17"/>
        </w:rPr>
        <w:t xml:space="preserve">Zitiervorschlag: § 10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