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GtDWSVVDV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Wasserstraßen- und Schifffahrtsverwaltung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26 Absatz 1 Nummer 2 des Bundesbeamtengesetzes vom 5. Februar 2009 (BGBl. I S. 160) in Verbindung mit § 10 Absatz 1 der Bundeslaufbahnverordnung vom 12. Februar 2009 (BGBl. I S. 284) verordnet das Bundesministerium für Verkehr, Bau und Stadtentwicklung:</w:t>
      </w:r>
    </w:p>
    <w:p>
      <w:r>
        <w:rPr>
          <w:color w:val="555555"/>
          <w:sz w:val="17"/>
        </w:rPr>
        <w:t xml:space="preserve">Zitiervorschlag: Eingangsformel GtDWSVVDV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https://recht.nulegal.eu/gesetze/GtDWSVVDV/eingangsformel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