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GtDWSVVDV — Allgemeines</w:t>
      </w:r>
    </w:p>
    <w:p>
      <w:r>
        <w:rPr>
          <w:color w:val="555555"/>
          <w:sz w:val="18"/>
        </w:rPr>
        <w:t xml:space="preserve">Verordnung über den Vorbereitungsdienst für den gehobenen technischen Verwaltungsdienst in der Wasserstraßen- und Schifffahrtsverwaltung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berufspraktische Ausbildung umfasst Praktika und Lehrveranstaltungen. Während der berufspraktischen Ausbildung erwerben die Anwärterinnen und Anwärter die für die Erfüllung der Aufgaben im gehobenen technischen Verwaltungsdienst in der Wasserstraßen- und Schifffahrtsverwaltung des Bundes erforderlichen Fachkenntnisse und Fähigkeiten, die über die nach § 1 Nummer 1 nachgewiesenen Kenntnisse hinausgehen. Sie lernen, ihre theoretischen Kenntnisse in der Praxis anzuwenden.</w:t>
      </w:r>
    </w:p>
    <w:p>
      <w:r>
        <w:t xml:space="preserve">(2) Für die Gestaltung, Durchführung und Überwachung der berufspraktischen Ausbildung ist die Einstellungsbehörde verantwortlich. Die berufspraktische Ausbildung findet in Dienststellen der Wasserstraßen- und Schifffahrtsverwaltung einschließlich ihrer Schulungseinrichtungen statt. Einzelne Praktika können auch bei anderen Behörden oder Unternehmen im In- oder Ausland oder bei über- oder zwischenstaatlichen Einrichtungen absolviert werden. Die berufspraktische Ausbildung kann durch Exkursionen ergänzt werden.</w:t>
      </w:r>
    </w:p>
    <w:p>
      <w:r>
        <w:rPr>
          <w:color w:val="555555"/>
          <w:sz w:val="17"/>
        </w:rPr>
        <w:t xml:space="preserve">Zitiervorschlag: § 7 GtDWSVVDV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https://recht.nulegal.eu/gesetze/GtDWSVVDV/7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