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GtDWSVVDV — Erholungsurlaub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gewährt</w:t>
      </w:r>
    </w:p>
    <w:p>
      <w:pPr>
        <w:ind w:left="420"/>
      </w:pPr>
      <w:r>
        <w:t xml:space="preserve">1. in der berufspraktischen Ausbildung nur während der Praktika und</w:t>
      </w:r>
    </w:p>
    <w:p>
      <w:pPr>
        <w:ind w:left="420"/>
      </w:pPr>
      <w:r>
        <w:t xml:space="preserve">2. im Studium in der Regel nur während der berufspraktischen Studienzeiten.</w:t>
      </w:r>
    </w:p>
    <w:p>
      <w:r>
        <w:rPr>
          <w:color w:val="555555"/>
          <w:sz w:val="17"/>
        </w:rPr>
        <w:t xml:space="preserve">Zitiervorschlag: § 4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