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GtDWSVVDV — Bestehen der Laufbahnprüfung, Rangpunktzahl der Laufbahnprüfung</w:t>
      </w:r>
    </w:p>
    <w:p>
      <w:r>
        <w:rPr>
          <w:color w:val="555555"/>
          <w:sz w:val="18"/>
        </w:rPr>
        <w:t xml:space="preserve">Verordnung über den Vorbereitungsdienst für den gehobenen technischen Verwaltungsdienst in der Wasserstraßen- und Schifffahrtsverwaltung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Laufbahnprüfung ist bestanden, wenn die Rangpunktzahl der Laufbahnprüfung mindestens 5 beträgt. Die Rangpunktzahl der Laufbahnprüfung wird im Anschluss an die mündliche Prüfung von der Prüfungskommission errechnet. Dabei sind die erreichten Rangpunktzahlen wie folgt zu gewichten:</w:t>
      </w:r>
    </w:p>
    <w:p>
      <w:pPr>
        <w:ind w:left="420"/>
      </w:pPr>
      <w:r>
        <w:t xml:space="preserve">1. im Fall der berufspraktischen Ausbildung</w:t>
      </w:r>
    </w:p>
    <w:p>
      <w:pPr>
        <w:ind w:left="780"/>
      </w:pPr>
      <w:r>
        <w:t xml:space="preserve">a) die Ausbildungsrangpunktzahl mit 20 Prozent,</w:t>
      </w:r>
    </w:p>
    <w:p>
      <w:pPr>
        <w:ind w:left="780"/>
      </w:pPr>
      <w:r>
        <w:t xml:space="preserve">b) die Durchschnittsrangpunktzahl der schriftlichen Abschlussprüfung mit 50 Prozent und</w:t>
      </w:r>
    </w:p>
    <w:p>
      <w:pPr>
        <w:ind w:left="780"/>
      </w:pPr>
      <w:r>
        <w:t xml:space="preserve">c) die Durchschnittsrangpunktzahl der mündlichen Abschlussprüfung mit 30 Prozent,</w:t>
      </w:r>
    </w:p>
    <w:p>
      <w:pPr>
        <w:ind w:left="420"/>
      </w:pPr>
      <w:r>
        <w:t xml:space="preserve">2. im Fall des Studiums</w:t>
      </w:r>
    </w:p>
    <w:p>
      <w:pPr>
        <w:ind w:left="780"/>
      </w:pPr>
      <w:r>
        <w:t xml:space="preserve">a) die Praxisrangpunktzahl mit 20 Prozent,</w:t>
      </w:r>
    </w:p>
    <w:p>
      <w:pPr>
        <w:ind w:left="780"/>
      </w:pPr>
      <w:r>
        <w:t xml:space="preserve">b) die sich aus Satz 4 ergebende Rangpunktzahl des Bachelorzeugnisses mit 40 Prozent und</w:t>
      </w:r>
    </w:p>
    <w:p>
      <w:pPr>
        <w:ind w:left="780"/>
      </w:pPr>
      <w:r>
        <w:t xml:space="preserve">c) die Durchschnittsrangpunktzahl der mündlichen Abschlussprüfung mit 40 Prozent.</w:t>
      </w:r>
    </w:p>
    <w:p>
      <w:pPr>
        <w:ind w:left="420"/>
      </w:pPr>
      <w:r>
        <w:t xml:space="preserve">Für die Berücksichtigung der Abschlussnote nach Satz 3 Nummer 2 Buchstabe b wird der Abschlussnote des Bachelorzeugnisses eine Rangpunktzahl zugeordnet:</w:t>
      </w:r>
    </w:p>
    <w:p>
      <w:r>
        <w:rPr>
          <w:rFonts w:ascii="Courier New" w:hAnsi="Courier New"/>
          <w:sz w:val="17"/>
        </w:rPr>
        <w:t xml:space="preserve">Note    Rangpunktzahl</w:t>
      </w:r>
    </w:p>
    <w:p>
      <w:r>
        <w:rPr>
          <w:rFonts w:ascii="Courier New" w:hAnsi="Courier New"/>
          <w:sz w:val="17"/>
        </w:rPr>
        <w:t xml:space="preserve">1,0    15,00</w:t>
      </w:r>
    </w:p>
    <w:p>
      <w:r>
        <w:rPr>
          <w:rFonts w:ascii="Courier New" w:hAnsi="Courier New"/>
          <w:sz w:val="17"/>
        </w:rPr>
        <w:t xml:space="preserve">1,1    14,70</w:t>
      </w:r>
    </w:p>
    <w:p>
      <w:r>
        <w:rPr>
          <w:rFonts w:ascii="Courier New" w:hAnsi="Courier New"/>
          <w:sz w:val="17"/>
        </w:rPr>
        <w:t xml:space="preserve">1,2    14,40</w:t>
      </w:r>
    </w:p>
    <w:p>
      <w:r>
        <w:rPr>
          <w:rFonts w:ascii="Courier New" w:hAnsi="Courier New"/>
          <w:sz w:val="17"/>
        </w:rPr>
        <w:t xml:space="preserve">1,3    14,10</w:t>
      </w:r>
    </w:p>
    <w:p>
      <w:r>
        <w:rPr>
          <w:rFonts w:ascii="Courier New" w:hAnsi="Courier New"/>
          <w:sz w:val="17"/>
        </w:rPr>
        <w:t xml:space="preserve">1,4    13,80</w:t>
      </w:r>
    </w:p>
    <w:p>
      <w:r>
        <w:rPr>
          <w:rFonts w:ascii="Courier New" w:hAnsi="Courier New"/>
          <w:sz w:val="17"/>
        </w:rPr>
        <w:t xml:space="preserve">1,5    13,50</w:t>
      </w:r>
    </w:p>
    <w:p>
      <w:r>
        <w:rPr>
          <w:rFonts w:ascii="Courier New" w:hAnsi="Courier New"/>
          <w:sz w:val="17"/>
        </w:rPr>
        <w:t xml:space="preserve">1,6    13,20</w:t>
      </w:r>
    </w:p>
    <w:p>
      <w:r>
        <w:rPr>
          <w:rFonts w:ascii="Courier New" w:hAnsi="Courier New"/>
          <w:sz w:val="17"/>
        </w:rPr>
        <w:t xml:space="preserve">1,7    12,90</w:t>
      </w:r>
    </w:p>
    <w:p>
      <w:r>
        <w:rPr>
          <w:rFonts w:ascii="Courier New" w:hAnsi="Courier New"/>
          <w:sz w:val="17"/>
        </w:rPr>
        <w:t xml:space="preserve">1,8    12,60</w:t>
      </w:r>
    </w:p>
    <w:p>
      <w:r>
        <w:rPr>
          <w:rFonts w:ascii="Courier New" w:hAnsi="Courier New"/>
          <w:sz w:val="17"/>
        </w:rPr>
        <w:t xml:space="preserve">1,9    12,30</w:t>
      </w:r>
    </w:p>
    <w:p>
      <w:r>
        <w:rPr>
          <w:rFonts w:ascii="Courier New" w:hAnsi="Courier New"/>
          <w:sz w:val="17"/>
        </w:rPr>
        <w:t xml:space="preserve">2,0    12,00</w:t>
      </w:r>
    </w:p>
    <w:p>
      <w:r>
        <w:rPr>
          <w:rFonts w:ascii="Courier New" w:hAnsi="Courier New"/>
          <w:sz w:val="17"/>
        </w:rPr>
        <w:t xml:space="preserve">2,1    11,70</w:t>
      </w:r>
    </w:p>
    <w:p>
      <w:r>
        <w:rPr>
          <w:rFonts w:ascii="Courier New" w:hAnsi="Courier New"/>
          <w:sz w:val="17"/>
        </w:rPr>
        <w:t xml:space="preserve">2,2    11,40</w:t>
      </w:r>
    </w:p>
    <w:p>
      <w:r>
        <w:rPr>
          <w:rFonts w:ascii="Courier New" w:hAnsi="Courier New"/>
          <w:sz w:val="17"/>
        </w:rPr>
        <w:t xml:space="preserve">2,3    11,10</w:t>
      </w:r>
    </w:p>
    <w:p>
      <w:r>
        <w:rPr>
          <w:rFonts w:ascii="Courier New" w:hAnsi="Courier New"/>
          <w:sz w:val="17"/>
        </w:rPr>
        <w:t xml:space="preserve">2,4    10,80</w:t>
      </w:r>
    </w:p>
    <w:p>
      <w:r>
        <w:rPr>
          <w:rFonts w:ascii="Courier New" w:hAnsi="Courier New"/>
          <w:sz w:val="17"/>
        </w:rPr>
        <w:t xml:space="preserve">2,5    10,50</w:t>
      </w:r>
    </w:p>
    <w:p>
      <w:r>
        <w:rPr>
          <w:rFonts w:ascii="Courier New" w:hAnsi="Courier New"/>
          <w:sz w:val="17"/>
        </w:rPr>
        <w:t xml:space="preserve">2,6    10,20</w:t>
      </w:r>
    </w:p>
    <w:p>
      <w:r>
        <w:rPr>
          <w:rFonts w:ascii="Courier New" w:hAnsi="Courier New"/>
          <w:sz w:val="17"/>
        </w:rPr>
        <w:t xml:space="preserve">2,7    9,90</w:t>
      </w:r>
    </w:p>
    <w:p>
      <w:r>
        <w:rPr>
          <w:rFonts w:ascii="Courier New" w:hAnsi="Courier New"/>
          <w:sz w:val="17"/>
        </w:rPr>
        <w:t xml:space="preserve">2,8    9,60</w:t>
      </w:r>
    </w:p>
    <w:p>
      <w:r>
        <w:rPr>
          <w:rFonts w:ascii="Courier New" w:hAnsi="Courier New"/>
          <w:sz w:val="17"/>
        </w:rPr>
        <w:t xml:space="preserve">2,9    9,30</w:t>
      </w:r>
    </w:p>
    <w:p>
      <w:r>
        <w:rPr>
          <w:rFonts w:ascii="Courier New" w:hAnsi="Courier New"/>
          <w:sz w:val="17"/>
        </w:rPr>
        <w:t xml:space="preserve">3,0    9,00</w:t>
      </w:r>
    </w:p>
    <w:p>
      <w:r>
        <w:rPr>
          <w:rFonts w:ascii="Courier New" w:hAnsi="Courier New"/>
          <w:sz w:val="17"/>
        </w:rPr>
        <w:t xml:space="preserve">3,1    8,70</w:t>
      </w:r>
    </w:p>
    <w:p>
      <w:r>
        <w:rPr>
          <w:rFonts w:ascii="Courier New" w:hAnsi="Courier New"/>
          <w:sz w:val="17"/>
        </w:rPr>
        <w:t xml:space="preserve">3,2    8,40</w:t>
      </w:r>
    </w:p>
    <w:p>
      <w:r>
        <w:rPr>
          <w:rFonts w:ascii="Courier New" w:hAnsi="Courier New"/>
          <w:sz w:val="17"/>
        </w:rPr>
        <w:t xml:space="preserve">3,3    8,10</w:t>
      </w:r>
    </w:p>
    <w:p>
      <w:r>
        <w:rPr>
          <w:rFonts w:ascii="Courier New" w:hAnsi="Courier New"/>
          <w:sz w:val="17"/>
        </w:rPr>
        <w:t xml:space="preserve">3,4    7,80</w:t>
      </w:r>
    </w:p>
    <w:p>
      <w:r>
        <w:rPr>
          <w:rFonts w:ascii="Courier New" w:hAnsi="Courier New"/>
          <w:sz w:val="17"/>
        </w:rPr>
        <w:t xml:space="preserve">3,5    7,50</w:t>
      </w:r>
    </w:p>
    <w:p>
      <w:r>
        <w:rPr>
          <w:rFonts w:ascii="Courier New" w:hAnsi="Courier New"/>
          <w:sz w:val="17"/>
        </w:rPr>
        <w:t xml:space="preserve">3,6    7,00</w:t>
      </w:r>
    </w:p>
    <w:p>
      <w:r>
        <w:rPr>
          <w:rFonts w:ascii="Courier New" w:hAnsi="Courier New"/>
          <w:sz w:val="17"/>
        </w:rPr>
        <w:t xml:space="preserve">3,7    6,50</w:t>
      </w:r>
    </w:p>
    <w:p>
      <w:r>
        <w:rPr>
          <w:rFonts w:ascii="Courier New" w:hAnsi="Courier New"/>
          <w:sz w:val="17"/>
        </w:rPr>
        <w:t xml:space="preserve">3,8    6,00</w:t>
      </w:r>
    </w:p>
    <w:p>
      <w:r>
        <w:rPr>
          <w:rFonts w:ascii="Courier New" w:hAnsi="Courier New"/>
          <w:sz w:val="17"/>
        </w:rPr>
        <w:t xml:space="preserve">3,9    5,50</w:t>
      </w:r>
    </w:p>
    <w:p>
      <w:r>
        <w:rPr>
          <w:rFonts w:ascii="Courier New" w:hAnsi="Courier New"/>
          <w:sz w:val="17"/>
        </w:rPr>
        <w:t xml:space="preserve">4,0    5,00</w:t>
      </w:r>
    </w:p>
    <w:p>
      <w:r>
        <w:t xml:space="preserve">(2) Ist die Laufbahnprüfung bestanden, wird die Rangpunktzahl der Laufbahnprüfung zur Ermittlung der Abschlussnote bei einem Nachkommawert ab 50 aufgerundet und bei einem kleineren Nachkommawert abgerundet.</w:t>
      </w:r>
    </w:p>
    <w:p>
      <w:r>
        <w:rPr>
          <w:color w:val="555555"/>
          <w:sz w:val="17"/>
        </w:rPr>
        <w:t xml:space="preserve">Zitiervorschlag: § 26 GtDWSVVDV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https://recht.nulegal.eu/gesetze/GtDWSVVDV/26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