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GtDWSVVDV — Studium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im Studium zu vermittelnden Kenntnisse und Fähigkeiten orientieren sich an den Anforderungen der Fachrichtungen des gehobenen technischen Verwaltungsdienstes in der Wasserstraßen- und Schifffahrtsverwaltung des Bundes. Die Einstellungsbehörde wählt einen geeigneten Bachelorstudiengang aus und legt diesen als Teil des Vorbereitungsdienstes fest.</w:t>
      </w:r>
    </w:p>
    <w:p>
      <w:r>
        <w:t xml:space="preserve">(2) Die Inhalte und der Ablauf des Bachelorstudiums richten sich nach den Studienplänen und Bestimmungen der Hochschule.</w:t>
      </w:r>
    </w:p>
    <w:p>
      <w:r>
        <w:t xml:space="preserve">(3) Die Einstellungsbehörde weist die Anwärterinnen und Anwärter für das Bachelorstudium der Hochschule zu.</w:t>
      </w:r>
    </w:p>
    <w:p>
      <w:r>
        <w:rPr>
          <w:color w:val="555555"/>
          <w:sz w:val="17"/>
        </w:rPr>
        <w:t xml:space="preserve">Zitiervorschlag: § 14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