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GtDWSVVDV — Beurteilung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Wasserstraßen- und Schifffahrtsverwaltung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Von den Ausbildungsstellen, denen die Anwärterinnen und Anwärter für mindestens einen Monat zugewiesen werden, erhalten diese unverzüglich nach Abschluss einer Ausbildungseinheit eine Beurteilung.</w:t>
      </w:r>
    </w:p>
    <w:p>
      <w:r>
        <w:t xml:space="preserve">(2) Die Beurteilung muss Angaben zur Dauer und zu Unterbrechungen der Ausbildung, zu den Fähigkeiten, zum Entwicklungspotenzial und zur erbrachten Leistung der Anwärterin oder des Anwärters enthalten. § 6 Absatz 1 und 3 gilt entsprechend. Kann eine Leistung auf Grund ihrer Art nicht mit Punkten bewertet werden, werden die Rangpunkte anhand der Erläuterung vergeben.</w:t>
      </w:r>
    </w:p>
    <w:p>
      <w:r>
        <w:t xml:space="preserve">(3) Die Beurteilung ist mit der Anwärterin oder dem Anwärter zu besprechen.</w:t>
      </w:r>
    </w:p>
    <w:p>
      <w:r>
        <w:rPr>
          <w:color w:val="555555"/>
          <w:sz w:val="17"/>
        </w:rPr>
        <w:t xml:space="preserve">Zitiervorschlag: § 10 GtDWSVVDV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https://recht.nulegal.eu/gesetze/GtDWSVVDV/10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