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GtDITZBundVDV</w:t>
      </w:r>
    </w:p>
    <w:p>
      <w:r>
        <w:rPr>
          <w:color w:val="555555"/>
          <w:sz w:val="18"/>
        </w:rPr>
        <w:t xml:space="preserve">Verordnung über den Vorbereitungsdienst für den gehobenen technischen Verwaltungsdienst des Bundes im Informationstechnikzentrum Bund</w:t>
      </w:r>
    </w:p>
    <w:p>
      <w:r>
        <w:rPr>
          <w:color w:val="555555"/>
          <w:sz w:val="18"/>
        </w:rPr>
        <w:t xml:space="preserve">Stand: 08.12.2020 (konsolidierte Textfassung, kein amtliches Inkrafttretensdatum)</w:t>
      </w:r>
    </w:p>
    <w:p>
      <w:r>
        <w:t xml:space="preserve">Auf Grund des § 26 Absatz 1 Nummer 2 und Absatz 2 des Bundesbeamtengesetzes – Absatz 1 Nummer 2 geändert durch Artikel 1 Nummer 9 des Gesetzes vom 6. März 2015 (BGBl. I S. 250) – in Verbindung mit den §§ 10, 10a Absatz 8 und Anlage 2 Nummer 28 der Bundeslaufbahnverordnung, von denen</w:t>
      </w:r>
    </w:p>
    <w:p>
      <w:pPr>
        <w:ind w:left="420"/>
      </w:pPr>
      <w:r>
        <w:t xml:space="preserve">– § 10 zuletzt durch Artikel 1 Nummer 2 der Verordnung vom 20. Februar 2013 (BGBl. I S. 316) geändert worden ist,</w:t>
      </w:r>
    </w:p>
    <w:p>
      <w:pPr>
        <w:ind w:left="420"/>
      </w:pPr>
      <w:r>
        <w:t xml:space="preserve">– § 10a Absatz 8 durch Artikel 1 Nummer 3 der Verordnung vom 18. Januar 2017 (BGBl. I S. 89) eingefügt worden ist und</w:t>
      </w:r>
    </w:p>
    <w:p>
      <w:pPr>
        <w:ind w:left="420"/>
      </w:pPr>
      <w:r>
        <w:t xml:space="preserve">– Anlage 2 Nummer 28 durch Artikel 1 Nummer 11 der Verordnung vom 15. September 2020 (BGBl. I S. 1990) eingefügt worden ist,</w:t>
      </w:r>
    </w:p>
    <w:p>
      <w:r>
        <w:t xml:space="preserve">verordnet das Bundesministerium der Finanzen:</w:t>
      </w:r>
    </w:p>
    <w:p>
      <w:r>
        <w:rPr>
          <w:color w:val="555555"/>
          <w:sz w:val="17"/>
        </w:rPr>
        <w:t xml:space="preserve">Zitiervorschlag: Eingangsformel GtDITZBundVDV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https://recht.nulegal.eu/gesetze/GtDITZBundVDV/eingangsformel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