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GtDITZBundVDV — Aufbau des Vorbereitungsdienstes</w:t>
      </w:r>
    </w:p>
    <w:p>
      <w:r>
        <w:rPr>
          <w:color w:val="555555"/>
          <w:sz w:val="18"/>
        </w:rPr>
        <w:t xml:space="preserve">Verordnung über den Vorbereitungsdienst für den gehobenen technischen Verwaltungsdienst des Bundes im Informationstechnikzentrum Bund</w:t>
      </w:r>
    </w:p>
    <w:p>
      <w:r>
        <w:rPr>
          <w:color w:val="555555"/>
          <w:sz w:val="18"/>
        </w:rPr>
        <w:t xml:space="preserve">Stand: 08.12.2020 (konsolidierte Textfassung, kein amtliches Inkrafttretensdatum)</w:t>
      </w:r>
    </w:p>
    <w:p>
      <w:r>
        <w:t xml:space="preserve">Der Vorbereitungsdienst gliedert sich wie folgt:</w:t>
      </w:r>
    </w:p>
    <w:p>
      <w:r>
        <w:rPr>
          <w:rFonts w:ascii="Courier New" w:hAnsi="Courier New"/>
          <w:sz w:val="17"/>
        </w:rPr>
        <w:t xml:space="preserve">    Abschnitt    Ausbildungsort    Dauer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Bachelorstudium    Universität    27 Monate</w:t>
      </w:r>
    </w:p>
    <w:p>
      <w:r>
        <w:rPr>
          <w:rFonts w:ascii="Courier New" w:hAnsi="Courier New"/>
          <w:sz w:val="17"/>
        </w:rPr>
        <w:t xml:space="preserve">2    berufspraktische Studienzeiten    Informationstechnikzentrum Bund    insgesamt 9 Monate während der vorlesungsfreien Zeiten des Bachelorstudiums</w:t>
      </w:r>
    </w:p>
    <w:p>
      <w:r>
        <w:rPr>
          <w:color w:val="555555"/>
          <w:sz w:val="17"/>
        </w:rPr>
        <w:t xml:space="preserve">Zitiervorschlag: § 12 GtDITZBundVDV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https://recht.nulegal.eu/gesetze/GtDITZBundVDV/12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GtDITZBundVDV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