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GtDBahnVDV</w:t>
      </w:r>
    </w:p>
    <w:p>
      <w:r>
        <w:rPr>
          <w:color w:val="555555"/>
          <w:sz w:val="18"/>
        </w:rPr>
        <w:t xml:space="preserve">Verordnung über den Vorbereitungsdienst für den gehobenen technischen Dienst – Fachrichtung Bahnwesen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1 Nummer 2 und Absatz 2 des Bundesbeamtengesetzes vom 5. Februar 2009 (BGBl. I S. 160) in Verbindung mit § 10 der Bundeslaufbahnverordnung, von denen § 10 durch Artikel 1 Nummer 2 der Verordnung vom 20. Februar 2013 (BGBl. I S. 316) geändert worden ist, sowie in Verbindung mit § 1 Absatz 1 des Zuständigkeitsanpassungsgesetzes vom 16. August 2002 (BGBl. I S. 3165) und dem Organisationserlass vom 17. Dezember 2013 (BGBl. I S. 4310) verordnet das Bundesministerium für Verkehr und digitale Infrastruktur:</w:t>
      </w:r>
    </w:p>
    <w:p>
      <w:r>
        <w:rPr>
          <w:color w:val="555555"/>
          <w:sz w:val="17"/>
        </w:rPr>
        <w:t xml:space="preserve">Zitiervorschlag: Eingangsformel GtDBahnVDV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https://recht.nulegal.eu/gesetze/GtDBahnVDV/eingangsformel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