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GtDBahnVDV — Allgemeines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Anwärterinnen und Anwärtern werden in Praktika und Lehrveranstaltungen die Fachkenntnisse und Fähigkeiten vermittelt, die über die Kenntnisse nach § 1 Absatz 2 hinaus für die Erfüllung der Aufgaben im gehobenen technischen Dienst – Fachrichtung Bahnwesen – erforderlich sind. Die Anwärterinnen und Anwärter lernen, ihre Kenntnisse in der Praxis anzuwenden.</w:t>
      </w:r>
    </w:p>
    <w:p>
      <w:r>
        <w:t xml:space="preserve">(2) Die berufspraktische Studienzeit wird in Dienststellen des Eisenbahn-Bundesamtes und in Schulungseinrichtungen durchgeführt. Einzelne Praktika können auch bei anderen Behörden oder Unternehmen im In- oder Ausland oder bei über- oder zwischenstaatlichen Einrichtungen absolviert werden.</w:t>
      </w:r>
    </w:p>
    <w:p>
      <w:r>
        <w:t xml:space="preserve">(3) Für die Gestaltung, Durchführung und Überwachung der berufspraktischen Studienzeit ist das Eisenbahn-Bundesamt zuständig.</w:t>
      </w:r>
    </w:p>
    <w:p>
      <w:r>
        <w:rPr>
          <w:color w:val="555555"/>
          <w:sz w:val="17"/>
        </w:rPr>
        <w:t xml:space="preserve">Zitiervorschlag: § 7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