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GtDBahnVDV — Bewertung der Leistungen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Anwärterinnen und Anwärter werden wie folgt bewertet:</w:t>
      </w:r>
    </w:p>
    <w:p>
      <w:r>
        <w:rPr>
          <w:rFonts w:ascii="Courier New" w:hAnsi="Courier New"/>
          <w:sz w:val="17"/>
        </w:rPr>
        <w:t xml:space="preserve">    Prozentualer Anteil dererreichten Punktzahlan der erreichbaren Punktzahl    Rangpunkte/ Rangpunktzahl    Note    Notendefinition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100,00 bis 93,70    15    sehr gut    eine Leistung, die den Anforderungen in besonderem Maße entspricht</w:t>
      </w:r>
    </w:p>
    <w:p>
      <w:r>
        <w:rPr>
          <w:rFonts w:ascii="Courier New" w:hAnsi="Courier New"/>
          <w:sz w:val="17"/>
        </w:rPr>
        <w:t xml:space="preserve">2    93,69 bis 87,50    14</w:t>
      </w:r>
    </w:p>
    <w:p>
      <w:r>
        <w:rPr>
          <w:rFonts w:ascii="Courier New" w:hAnsi="Courier New"/>
          <w:sz w:val="17"/>
        </w:rPr>
        <w:t xml:space="preserve">3    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83,39 bis 79,20    12</w:t>
      </w:r>
    </w:p>
    <w:p>
      <w:r>
        <w:rPr>
          <w:rFonts w:ascii="Courier New" w:hAnsi="Courier New"/>
          <w:sz w:val="17"/>
        </w:rPr>
        <w:t xml:space="preserve">5    79,19 bis 75,00    11</w:t>
      </w:r>
    </w:p>
    <w:p>
      <w:r>
        <w:rPr>
          <w:rFonts w:ascii="Courier New" w:hAnsi="Courier New"/>
          <w:sz w:val="17"/>
        </w:rPr>
        <w:t xml:space="preserve">6    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70,89 bis 66,70    9</w:t>
      </w:r>
    </w:p>
    <w:p>
      <w:r>
        <w:rPr>
          <w:rFonts w:ascii="Courier New" w:hAnsi="Courier New"/>
          <w:sz w:val="17"/>
        </w:rPr>
        <w:t xml:space="preserve">8    66,69 bis 62,50    8</w:t>
      </w:r>
    </w:p>
    <w:p>
      <w:r>
        <w:rPr>
          <w:rFonts w:ascii="Courier New" w:hAnsi="Courier New"/>
          <w:sz w:val="17"/>
        </w:rPr>
        <w:t xml:space="preserve">9    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58,39 bis 54,20    6</w:t>
      </w:r>
    </w:p>
    <w:p>
      <w:r>
        <w:rPr>
          <w:rFonts w:ascii="Courier New" w:hAnsi="Courier New"/>
          <w:sz w:val="17"/>
        </w:rPr>
        <w:t xml:space="preserve">11    54,19 bis 50,00    5</w:t>
      </w:r>
    </w:p>
    <w:p>
      <w:r>
        <w:rPr>
          <w:rFonts w:ascii="Courier New" w:hAnsi="Courier New"/>
          <w:sz w:val="17"/>
        </w:rPr>
        <w:t xml:space="preserve">12    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41,69 bis 33,40    3</w:t>
      </w:r>
    </w:p>
    <w:p>
      <w:r>
        <w:rPr>
          <w:rFonts w:ascii="Courier New" w:hAnsi="Courier New"/>
          <w:sz w:val="17"/>
        </w:rPr>
        <w:t xml:space="preserve">14    33,39 bis 25,00    2</w:t>
      </w:r>
    </w:p>
    <w:p>
      <w:r>
        <w:rPr>
          <w:rFonts w:ascii="Courier New" w:hAnsi="Courier New"/>
          <w:sz w:val="17"/>
        </w:rPr>
        <w:t xml:space="preserve">15    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12,49 bis 0,00    0</w:t>
      </w:r>
    </w:p>
    <w:p>
      <w:r>
        <w:t xml:space="preserve">(2) Durchschnittsrangpunktzahlen und die Rangpunktzahl der Laufbahnprüfung (§ 21 Absatz 1) werden auf zwei Nachkommastellen ohne Auf- oder Abrundung berechnet.</w:t>
      </w:r>
    </w:p>
    <w:p>
      <w:r>
        <w:rPr>
          <w:color w:val="555555"/>
          <w:sz w:val="17"/>
        </w:rPr>
        <w:t xml:space="preserve">Zitiervorschlag: § 6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