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GtDBahnVDV — Vorbereitungsdienst, Einstellungsvoraussetzung</w:t>
      </w:r>
    </w:p>
    <w:p>
      <w:r>
        <w:rPr>
          <w:color w:val="555555"/>
          <w:sz w:val="18"/>
        </w:rPr>
        <w:t xml:space="preserve">Verordnung über den Vorbereitungsdienst für den gehobenen technischen Dienst – Fachrichtung Bahnwesen –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Vorbereitungsdienst für den gehobenen technischen Dienst – Fachrichtung Bahnwesen – ist eine einjährige berufspraktische Studienzeit, die mit der Laufbahnprüfung abschließt.</w:t>
      </w:r>
    </w:p>
    <w:p>
      <w:r>
        <w:t xml:space="preserve">(2) Voraussetzung für die Einstellung in den Vorbereitungsdienst ist der Nachweis der für die Laufbahnaufgaben erforderlichen wissenschaftlichen und methodischen Grundkenntnisse durch einen Bachelorabschluss oder einen gleichwertigen Abschluss.</w:t>
      </w:r>
    </w:p>
    <w:p>
      <w:r>
        <w:rPr>
          <w:color w:val="555555"/>
          <w:sz w:val="17"/>
        </w:rPr>
        <w:t xml:space="preserve">Zitiervorschlag: § 1 GtDBahnVDV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https://recht.nulegal.eu/gesetze/GtDBahnVDV/1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