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GtDBWVAPrV — Nachteilsausgleich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Menschen mit Beeinträchtigungen, die die Umsetzung der nachzuweisenden Kenntnisse und Fähigkeiten einschränken, wird im Auswahlverfahren sowie bei Leistungsnachweisen und Prüfungen auf Antrag ein angemessener Nachteilsausgleich gewährt. Die nach Absatz 2 zuständige Stelle weist rechtzeitig auf die Möglichkeit des Nachteilsausgleichs hin.</w:t>
      </w:r>
    </w:p>
    <w:p>
      <w:r>
        <w:t xml:space="preserve">(2) Über die Gewährung eines Nachteilsausgleichs entscheidet</w:t>
      </w:r>
    </w:p>
    <w:p>
      <w:pPr>
        <w:ind w:left="420"/>
      </w:pPr>
      <w:r>
        <w:t xml:space="preserve">1. im Auswahlverfahren die Einstellungsbehörde,</w:t>
      </w:r>
    </w:p>
    <w:p>
      <w:pPr>
        <w:ind w:left="420"/>
      </w:pPr>
      <w:r>
        <w:t xml:space="preserve">2. in der fachtheoretischen Ausbildung das Bildungszentrum der Bundeswehr,</w:t>
      </w:r>
    </w:p>
    <w:p>
      <w:pPr>
        <w:ind w:left="420"/>
      </w:pPr>
      <w:r>
        <w:t xml:space="preserve">3. in der berufspraktischen Ausbildung die Ausbildungsleitung und</w:t>
      </w:r>
    </w:p>
    <w:p>
      <w:pPr>
        <w:ind w:left="420"/>
      </w:pPr>
      <w:r>
        <w:t xml:space="preserve">4. in der Laufbahnprüfung das Prüfungsamt.</w:t>
      </w:r>
    </w:p>
    <w:p>
      <w:r>
        <w:t xml:space="preserve">(3) Art und Umfang des Nachteilsausgleichs sind mit der betroffenen Person rechtzeitig zu erörtern.</w:t>
      </w:r>
    </w:p>
    <w:p>
      <w:r>
        <w:t xml:space="preserve">(4) Ist ein schwerbehinderter Mensch oder ein gleichgestellter behinderter Mensch betroffen, so ist in die Erörterung auch die Schwerbehindertenvertretung einzubeziehen.</w:t>
      </w:r>
    </w:p>
    <w:p>
      <w:r>
        <w:t xml:space="preserve">(5) Ein Nachteilsausgleich darf nicht dazu führen, dass die inhaltlichen Anforderungen herabgesetzt werden.</w:t>
      </w:r>
    </w:p>
    <w:p>
      <w:r>
        <w:rPr>
          <w:color w:val="555555"/>
          <w:sz w:val="17"/>
        </w:rPr>
        <w:t xml:space="preserve">Zitiervorschlag: § 4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