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GtDBWVAPrV — Gesamtergebnis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Anschluss an die mündliche Prüfung setzt die Prüfungskommission die Abschlussnote fest. Dabei werden berücksichtigt:</w:t>
      </w:r>
    </w:p>
    <w:p>
      <w:r>
        <w:rPr>
          <w:rFonts w:ascii="Courier New" w:hAnsi="Courier New"/>
          <w:sz w:val="17"/>
        </w:rPr>
        <w:t xml:space="preserve">1. die Rangpunkte der Aufsichtsarbeiten    mit je 20 Prozent,</w:t>
      </w:r>
    </w:p>
    <w:p>
      <w:r>
        <w:rPr>
          <w:rFonts w:ascii="Courier New" w:hAnsi="Courier New"/>
          <w:sz w:val="17"/>
        </w:rPr>
        <w:t xml:space="preserve">2. die Rangpunkte der Praxisarbeit    mit 30 Prozent und</w:t>
      </w:r>
    </w:p>
    <w:p>
      <w:r>
        <w:rPr>
          <w:rFonts w:ascii="Courier New" w:hAnsi="Courier New"/>
          <w:sz w:val="17"/>
        </w:rPr>
        <w:t xml:space="preserve">3. die Durchschnittsrangpunktzahl der mündlichen Prüfung    mit 30 Prozent.</w:t>
      </w:r>
    </w:p>
    <w:p>
      <w:r>
        <w:t xml:space="preserve">Soweit die abschließend errechnete Durchschnittsrangpunktzahl 5 oder mehr beträgt, werden Dezimalstellen von 50 bis 99 für die Bildung der Abschlussnote aufgerundet; im Übrigen bleiben Dezimalstellen für die Bildung von Noten unberücksichtigt.</w:t>
      </w:r>
    </w:p>
    <w:p>
      <w:r>
        <w:t xml:space="preserve">(2) Die oder der Vorsitzende der Prüfungskommission teilt den Prüfungsteilnehmerinnen und Prüfungsteilnehmern die erreichten Rangpunkte mit und erläutert sie auf Wunsch kurz mündlich.</w:t>
      </w:r>
    </w:p>
    <w:p>
      <w:r>
        <w:t xml:space="preserve">(3) Das Gesamtergebnis der Laufbahnprüfung ist schriftlich oder elektronisch zu dokumentieren.</w:t>
      </w:r>
    </w:p>
    <w:p>
      <w:r>
        <w:rPr>
          <w:color w:val="555555"/>
          <w:sz w:val="17"/>
        </w:rPr>
        <w:t xml:space="preserve">Zitiervorschlag: § 33 GtDBWVAPrV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https://recht.nulegal.eu/gesetze/GtDBWVAPrV/33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