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GtDBWVAPrV — Zulassung zur mündlichen Prüfung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Prüfungsamt lässt Anwärterinnen und Anwärter zur mündlichen Prüfung zu, wenn beide Aufsichtsarbeiten und die Praxisarbeit jeweils mindestens mit „ausreichend“ bewertet worden sind. Beim Vorbereitungsdienst nach § 2 Nummer 2 müssen darüber hinaus die Gesamtzahl an Credit Points erreicht und die Prüfungen, die die Studien- und Prüfungsordnung der kooperierenden Hochschuleinrichtung vorschreibt, bestanden worden sein.</w:t>
      </w:r>
    </w:p>
    <w:p>
      <w:r>
        <w:t xml:space="preserve">(2) Die Ausbildungsleitung teilt den Anwärterinnen und Anwärtern im Auftrag des Prüfungsamtes die Zulassung oder Nichtzulassung rechtzeitig vor der mündlichen Prüfung mit.</w:t>
      </w:r>
    </w:p>
    <w:p>
      <w:r>
        <w:rPr>
          <w:color w:val="555555"/>
          <w:sz w:val="17"/>
        </w:rPr>
        <w:t xml:space="preserve">Zitiervorschlag: § 28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