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GtDBWVAPrV — Arten des Vorbereitungsdienstes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Vorbereitungsdienst besteht aus</w:t>
      </w:r>
    </w:p>
    <w:p>
      <w:pPr>
        <w:ind w:left="420"/>
      </w:pPr>
      <w:r>
        <w:t xml:space="preserve">1. einer berufspraktischen Studienzeit, wenn die für die Laufbahnaufgaben erforderlichen wissenschaftlichen und methodischen Kenntnisse durch ein mit einem Bachelorgrad abgeschlossenes Hochschulstudium oder durch einen gleichwertigen Abschluss nachgewiesen werden, oder</w:t>
      </w:r>
    </w:p>
    <w:p>
      <w:pPr>
        <w:ind w:left="420"/>
      </w:pPr>
      <w:r>
        <w:t xml:space="preserve">2. einem Bachelorstudium mit integrierten berufspraktischen Studienzeiten.</w:t>
      </w:r>
    </w:p>
    <w:p>
      <w:r>
        <w:rPr>
          <w:color w:val="555555"/>
          <w:sz w:val="17"/>
        </w:rPr>
        <w:t xml:space="preserve">Zitiervorschlag: § 2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