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GtDBWVAPrV — Credit Points</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10.06.2019 (konsolidierte Textfassung, kein amtliches Inkrafttretensdatum)</w:t>
      </w:r>
    </w:p>
    <w:p>
      <w:r>
        <w:t xml:space="preserve">Für den erfolgreichen Abschluss des Bachelorstudiums müssen Studierende eine von der kooperierenden Hochschuleinrichtung festzulegende Anzahl von Credit Points erreichen, die sich nach dem European Credit Transfer and Accumulation System richtet. Sie müssen außerdem die Modulprüfungen nach den Bestimmungen der kooperierenden Hochschuleinrichtung sowie die Teilprüfungen der Laufbahnprüfung bestehen.</w:t>
      </w:r>
    </w:p>
    <w:p>
      <w:r>
        <w:rPr>
          <w:color w:val="555555"/>
          <w:sz w:val="17"/>
        </w:rPr>
        <w:t xml:space="preserve">Zitiervorschlag: § 19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