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GtDBWVAPrV — Lehrgänge „Allgemeine Wehrtechnik“, „Wirtschaftlichkeit im Projektmanagement“ und „Technisches Projektmanagement“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Lehrgang „Allgemeine Wehrtechnik“ wird den Anwärterinnen und Anwärtern ein Überblick vermittelt über</w:t>
      </w:r>
    </w:p>
    <w:p>
      <w:pPr>
        <w:ind w:left="420"/>
      </w:pPr>
      <w:r>
        <w:t xml:space="preserve">1. die Wehrtechnik,</w:t>
      </w:r>
    </w:p>
    <w:p>
      <w:pPr>
        <w:ind w:left="420"/>
      </w:pPr>
      <w:r>
        <w:t xml:space="preserve">2. die Aufgaben und die Organisation der Bundeswehr sowie</w:t>
      </w:r>
    </w:p>
    <w:p>
      <w:pPr>
        <w:ind w:left="420"/>
      </w:pPr>
      <w:r>
        <w:t xml:space="preserve">3. die Sicherheitspolitik.</w:t>
      </w:r>
    </w:p>
    <w:p>
      <w:r>
        <w:t xml:space="preserve">(2) Im Lehrgang „Wirtschaftlichkeit im Projektmanagement“ werden die Anwärterinnen und Anwärter in die Lage versetzt, die volkswirtschaftlichen und betriebswirtschaftlichen Zusammenhänge in den Projekten einschließlich der haushalts-, vergabe- und preisrechtlichen Aspekte einschätzen und bewerten zu können.</w:t>
      </w:r>
    </w:p>
    <w:p>
      <w:r>
        <w:t xml:space="preserve">(3) Im Lehrgang „Technisches Projektmanagement“ werden den Anwärterinnen und Anwärtern vermittelt</w:t>
      </w:r>
    </w:p>
    <w:p>
      <w:pPr>
        <w:ind w:left="420"/>
      </w:pPr>
      <w:r>
        <w:t xml:space="preserve">1. die grundlegenden Methoden des Projektmanagements und</w:t>
      </w:r>
    </w:p>
    <w:p>
      <w:pPr>
        <w:ind w:left="420"/>
      </w:pPr>
      <w:r>
        <w:t xml:space="preserve">2. die Bedarfsermittlungs-, Bedarfsdeckungs- und Nutzungsverfahren in der Bundeswehr.</w:t>
      </w:r>
    </w:p>
    <w:p>
      <w:r>
        <w:t xml:space="preserve">(4) Die Anwärterinnen und Anwärter werden befähigt, die allgemeinen fachgebietsübergreifenden Aufgaben im Bereich der Wehrtechnik sowie Funktionen im technischen Projektmanagement wahrzunehmen. Einzelheiten regelt der jeweilige Lehrplan.</w:t>
      </w:r>
    </w:p>
    <w:p>
      <w:r>
        <w:rPr>
          <w:color w:val="555555"/>
          <w:sz w:val="17"/>
        </w:rPr>
        <w:t xml:space="preserve">Zitiervorschlag: § 13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