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GrwV 2010</w:t>
      </w:r>
    </w:p>
    <w:p>
      <w:r>
        <w:rPr>
          <w:color w:val="555555"/>
          <w:sz w:val="18"/>
        </w:rPr>
        <w:t xml:space="preserve">Grundwasserverordnung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23 Absatz 1 Nummer 1 bis 3 und 8 bis 12 des Wasserhaushaltsgesetzes, Absatz 1 geändert durch Artikel 12 Nummer 0a des Gesetzes vom 11. August 2010 (BGBl. I S. 1163), verordnet die Bundesregierung nach Anhörung der beteiligten Kreise:</w:t>
      </w:r>
    </w:p>
    <w:p>
      <w:r>
        <w:rPr>
          <w:color w:val="555555"/>
          <w:sz w:val="17"/>
        </w:rPr>
        <w:t xml:space="preserve">Zitiervorschlag: Eingangsformel GrwV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https://recht.nulegal.eu/gesetze/GrwV%202010/eingangsformel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